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C1B513" w14:textId="77777777" w:rsidR="0061785D" w:rsidRDefault="0061785D">
      <w:pPr>
        <w:jc w:val="center"/>
        <w:rPr>
          <w:rFonts w:ascii="黑体" w:eastAsia="黑体" w:hAnsi="黑体" w:hint="eastAsia"/>
          <w:b/>
          <w:sz w:val="44"/>
        </w:rPr>
      </w:pPr>
    </w:p>
    <w:p w14:paraId="5B1721E2" w14:textId="77777777" w:rsidR="0061785D" w:rsidRDefault="0061785D">
      <w:pPr>
        <w:jc w:val="center"/>
        <w:rPr>
          <w:rFonts w:ascii="黑体" w:eastAsia="黑体" w:hAnsi="黑体" w:hint="eastAsia"/>
          <w:b/>
          <w:sz w:val="44"/>
        </w:rPr>
      </w:pPr>
    </w:p>
    <w:p w14:paraId="273EC8D2" w14:textId="77777777" w:rsidR="0061785D" w:rsidRDefault="0061785D">
      <w:pPr>
        <w:jc w:val="center"/>
        <w:rPr>
          <w:rFonts w:ascii="黑体" w:eastAsia="黑体" w:hAnsi="黑体" w:hint="eastAsia"/>
          <w:b/>
          <w:sz w:val="44"/>
        </w:rPr>
      </w:pPr>
    </w:p>
    <w:p w14:paraId="6269655C" w14:textId="77777777" w:rsidR="0061785D" w:rsidRDefault="00000000">
      <w:pPr>
        <w:jc w:val="center"/>
        <w:rPr>
          <w:rFonts w:ascii="黑体" w:eastAsia="黑体" w:hAnsi="黑体" w:hint="eastAsia"/>
          <w:b/>
          <w:sz w:val="44"/>
        </w:rPr>
      </w:pPr>
      <w:r>
        <w:rPr>
          <w:rFonts w:ascii="黑体" w:eastAsia="黑体" w:hAnsi="黑体" w:hint="eastAsia"/>
          <w:b/>
          <w:sz w:val="44"/>
        </w:rPr>
        <w:t>《公共美术馆重要设施设备运行管理规范</w:t>
      </w:r>
      <w:r>
        <w:rPr>
          <w:rFonts w:ascii="黑体" w:eastAsia="黑体" w:hAnsi="黑体"/>
          <w:b/>
          <w:sz w:val="44"/>
        </w:rPr>
        <w:t>》</w:t>
      </w:r>
    </w:p>
    <w:p w14:paraId="0406C349" w14:textId="77777777" w:rsidR="0061785D" w:rsidRDefault="0061785D"/>
    <w:p w14:paraId="09CE7DD3" w14:textId="77777777" w:rsidR="0061785D" w:rsidRDefault="0061785D"/>
    <w:p w14:paraId="3D85E70B" w14:textId="77777777" w:rsidR="0061785D" w:rsidRDefault="00000000">
      <w:pPr>
        <w:jc w:val="center"/>
        <w:rPr>
          <w:rFonts w:ascii="黑体" w:eastAsia="黑体" w:hAnsi="黑体" w:hint="eastAsia"/>
          <w:b/>
          <w:sz w:val="44"/>
        </w:rPr>
      </w:pPr>
      <w:r>
        <w:rPr>
          <w:rFonts w:ascii="黑体" w:eastAsia="黑体" w:hAnsi="黑体" w:hint="eastAsia"/>
          <w:b/>
          <w:sz w:val="44"/>
        </w:rPr>
        <w:t>编制说明</w:t>
      </w:r>
    </w:p>
    <w:p w14:paraId="443679EF" w14:textId="77777777" w:rsidR="0061785D" w:rsidRDefault="0061785D">
      <w:pPr>
        <w:rPr>
          <w:rFonts w:ascii="黑体" w:eastAsia="黑体" w:hAnsi="黑体" w:cs="黑体" w:hint="eastAsia"/>
          <w:sz w:val="30"/>
          <w:szCs w:val="30"/>
        </w:rPr>
      </w:pPr>
    </w:p>
    <w:p w14:paraId="2D6143E1" w14:textId="77777777" w:rsidR="0061785D" w:rsidRDefault="00000000">
      <w:pPr>
        <w:rPr>
          <w:rFonts w:ascii="黑体" w:eastAsia="黑体" w:hAnsi="黑体" w:cs="方正仿宋_GBK" w:hint="eastAsia"/>
          <w:sz w:val="32"/>
          <w:szCs w:val="32"/>
        </w:rPr>
      </w:pPr>
      <w:r>
        <w:rPr>
          <w:rFonts w:ascii="黑体" w:eastAsia="黑体" w:hAnsi="黑体" w:cs="方正仿宋_GBK" w:hint="eastAsia"/>
          <w:sz w:val="32"/>
          <w:szCs w:val="32"/>
        </w:rPr>
        <w:t xml:space="preserve">         </w:t>
      </w:r>
    </w:p>
    <w:p w14:paraId="0FC63DB1" w14:textId="77777777" w:rsidR="0061785D" w:rsidRDefault="0061785D">
      <w:pPr>
        <w:rPr>
          <w:rFonts w:ascii="黑体" w:eastAsia="黑体" w:hAnsi="黑体" w:cs="方正仿宋_GBK" w:hint="eastAsia"/>
          <w:sz w:val="32"/>
          <w:szCs w:val="32"/>
        </w:rPr>
      </w:pPr>
    </w:p>
    <w:p w14:paraId="01A9A381" w14:textId="77777777" w:rsidR="0061785D" w:rsidRDefault="0061785D">
      <w:pPr>
        <w:rPr>
          <w:rFonts w:ascii="黑体" w:eastAsia="黑体" w:hAnsi="黑体" w:cs="方正仿宋_GBK" w:hint="eastAsia"/>
          <w:sz w:val="32"/>
          <w:szCs w:val="32"/>
        </w:rPr>
      </w:pPr>
    </w:p>
    <w:p w14:paraId="0F8D58E6" w14:textId="77777777" w:rsidR="0061785D" w:rsidRDefault="0061785D">
      <w:pPr>
        <w:rPr>
          <w:rFonts w:ascii="黑体" w:eastAsia="黑体" w:hAnsi="黑体" w:cs="方正仿宋_GBK" w:hint="eastAsia"/>
          <w:sz w:val="32"/>
          <w:szCs w:val="32"/>
        </w:rPr>
      </w:pPr>
    </w:p>
    <w:p w14:paraId="0E322406" w14:textId="77777777" w:rsidR="0061785D" w:rsidRDefault="0061785D">
      <w:pPr>
        <w:rPr>
          <w:rFonts w:ascii="黑体" w:eastAsia="黑体" w:hAnsi="黑体" w:cs="方正仿宋_GBK" w:hint="eastAsia"/>
          <w:sz w:val="32"/>
          <w:szCs w:val="32"/>
        </w:rPr>
      </w:pPr>
    </w:p>
    <w:p w14:paraId="5D4F70A3" w14:textId="77777777" w:rsidR="0061785D" w:rsidRDefault="0061785D">
      <w:pPr>
        <w:rPr>
          <w:rFonts w:ascii="黑体" w:eastAsia="黑体" w:hAnsi="黑体" w:cs="方正仿宋_GBK" w:hint="eastAsia"/>
          <w:sz w:val="32"/>
          <w:szCs w:val="32"/>
        </w:rPr>
      </w:pPr>
    </w:p>
    <w:p w14:paraId="4E0CDB0A" w14:textId="77777777" w:rsidR="0061785D" w:rsidRDefault="0061785D">
      <w:pPr>
        <w:rPr>
          <w:rFonts w:ascii="黑体" w:eastAsia="黑体" w:hAnsi="黑体" w:cs="方正仿宋_GBK" w:hint="eastAsia"/>
          <w:sz w:val="32"/>
          <w:szCs w:val="32"/>
        </w:rPr>
      </w:pPr>
    </w:p>
    <w:p w14:paraId="640BBE60" w14:textId="77777777" w:rsidR="0061785D" w:rsidRDefault="0061785D">
      <w:pPr>
        <w:rPr>
          <w:rFonts w:ascii="黑体" w:eastAsia="黑体" w:hAnsi="黑体" w:cs="方正仿宋_GBK" w:hint="eastAsia"/>
          <w:sz w:val="32"/>
          <w:szCs w:val="32"/>
        </w:rPr>
      </w:pPr>
    </w:p>
    <w:p w14:paraId="43500E96" w14:textId="77777777" w:rsidR="0061785D" w:rsidRDefault="00000000">
      <w:pPr>
        <w:jc w:val="center"/>
        <w:rPr>
          <w:rFonts w:ascii="黑体" w:eastAsia="黑体" w:hAnsi="黑体" w:hint="eastAsia"/>
          <w:b/>
          <w:sz w:val="28"/>
        </w:rPr>
      </w:pPr>
      <w:r>
        <w:rPr>
          <w:rFonts w:ascii="黑体" w:eastAsia="黑体" w:hAnsi="黑体" w:hint="eastAsia"/>
          <w:b/>
          <w:sz w:val="28"/>
        </w:rPr>
        <w:t>202</w:t>
      </w:r>
      <w:r>
        <w:rPr>
          <w:rFonts w:ascii="黑体" w:eastAsia="黑体" w:hAnsi="黑体"/>
          <w:b/>
          <w:sz w:val="28"/>
        </w:rPr>
        <w:t>4</w:t>
      </w:r>
      <w:r>
        <w:rPr>
          <w:rFonts w:ascii="黑体" w:eastAsia="黑体" w:hAnsi="黑体" w:hint="eastAsia"/>
          <w:b/>
          <w:sz w:val="28"/>
        </w:rPr>
        <w:t>年11月28日</w:t>
      </w:r>
    </w:p>
    <w:p w14:paraId="3D093ACD" w14:textId="77777777" w:rsidR="0061785D" w:rsidRDefault="0061785D">
      <w:pPr>
        <w:rPr>
          <w:rFonts w:ascii="黑体" w:eastAsia="黑体" w:hAnsi="黑体" w:cs="方正仿宋_GBK" w:hint="eastAsia"/>
          <w:sz w:val="32"/>
          <w:szCs w:val="32"/>
        </w:rPr>
      </w:pPr>
    </w:p>
    <w:p w14:paraId="6E8A7020" w14:textId="77777777" w:rsidR="0061785D" w:rsidRDefault="0061785D">
      <w:pPr>
        <w:rPr>
          <w:rFonts w:ascii="黑体" w:eastAsia="黑体" w:hAnsi="黑体" w:cs="方正仿宋_GBK" w:hint="eastAsia"/>
          <w:sz w:val="32"/>
          <w:szCs w:val="32"/>
        </w:rPr>
      </w:pPr>
    </w:p>
    <w:p w14:paraId="6865E0B0" w14:textId="77777777" w:rsidR="0061785D" w:rsidRDefault="0061785D">
      <w:pPr>
        <w:rPr>
          <w:rFonts w:ascii="黑体" w:eastAsia="黑体" w:hAnsi="黑体" w:cs="方正仿宋_GBK" w:hint="eastAsia"/>
          <w:sz w:val="32"/>
          <w:szCs w:val="32"/>
        </w:rPr>
      </w:pPr>
    </w:p>
    <w:p w14:paraId="43D444A2" w14:textId="77777777" w:rsidR="0061785D" w:rsidRDefault="0061785D">
      <w:pPr>
        <w:rPr>
          <w:rFonts w:ascii="黑体" w:eastAsia="黑体" w:hAnsi="黑体" w:cs="方正仿宋_GBK" w:hint="eastAsia"/>
          <w:sz w:val="32"/>
          <w:szCs w:val="32"/>
        </w:rPr>
      </w:pPr>
    </w:p>
    <w:p w14:paraId="4E29816B" w14:textId="77777777" w:rsidR="0061785D" w:rsidRDefault="00000000">
      <w:pPr>
        <w:jc w:val="center"/>
        <w:rPr>
          <w:rFonts w:ascii="黑体" w:eastAsia="黑体" w:hAnsi="黑体" w:cs="方正小标宋_GBK" w:hint="eastAsia"/>
          <w:sz w:val="44"/>
          <w:szCs w:val="44"/>
        </w:rPr>
      </w:pPr>
      <w:r>
        <w:rPr>
          <w:rFonts w:ascii="黑体" w:eastAsia="黑体" w:hAnsi="黑体" w:cs="方正小标宋_GBK" w:hint="eastAsia"/>
          <w:sz w:val="44"/>
          <w:szCs w:val="44"/>
        </w:rPr>
        <w:lastRenderedPageBreak/>
        <w:t>地方标准编制说明</w:t>
      </w:r>
    </w:p>
    <w:p w14:paraId="2142BD11" w14:textId="77777777" w:rsidR="0061785D" w:rsidRDefault="00000000">
      <w:pPr>
        <w:spacing w:line="580" w:lineRule="exact"/>
        <w:rPr>
          <w:rFonts w:ascii="黑体" w:eastAsia="黑体" w:hAnsi="黑体" w:cs="黑体" w:hint="eastAsia"/>
          <w:sz w:val="28"/>
          <w:szCs w:val="28"/>
        </w:rPr>
      </w:pPr>
      <w:r>
        <w:rPr>
          <w:rFonts w:ascii="黑体" w:eastAsia="黑体" w:hAnsi="黑体" w:cs="黑体" w:hint="eastAsia"/>
          <w:sz w:val="28"/>
          <w:szCs w:val="28"/>
        </w:rPr>
        <w:t>一、目的意义</w:t>
      </w:r>
    </w:p>
    <w:p w14:paraId="6D30888D" w14:textId="77777777" w:rsidR="0061785D" w:rsidRDefault="00000000">
      <w:pPr>
        <w:spacing w:line="580" w:lineRule="exact"/>
        <w:ind w:firstLineChars="200" w:firstLine="560"/>
        <w:jc w:val="left"/>
        <w:rPr>
          <w:rFonts w:ascii="仿宋" w:eastAsia="仿宋" w:hAnsi="仿宋" w:cs="宋体" w:hint="eastAsia"/>
          <w:sz w:val="28"/>
          <w:szCs w:val="28"/>
        </w:rPr>
      </w:pPr>
      <w:r>
        <w:rPr>
          <w:rFonts w:ascii="仿宋" w:eastAsia="仿宋" w:hAnsi="仿宋" w:cs="宋体" w:hint="eastAsia"/>
          <w:sz w:val="28"/>
          <w:szCs w:val="28"/>
        </w:rPr>
        <w:t>为深入贯彻习近平新时代文化强国思想，推动江苏文化事业高质量的发展。保障公共美术馆的高质量发展。2011年后我国公共美术馆的建设进入了快车道，社会对美术馆的重视和关注在加强，各级政府加大对美术馆事业的投入，一些大型美术馆相继建成使用或已列入建设规划，美术馆硬件条件有了很大改善，美术馆格局正在进一步完善，美术馆履行专业职能的能力及其公共文化服务能力也得到了很大程度的提升。</w:t>
      </w:r>
    </w:p>
    <w:p w14:paraId="6BAB183F" w14:textId="77777777" w:rsidR="0061785D" w:rsidRDefault="00000000">
      <w:pPr>
        <w:spacing w:line="580" w:lineRule="exact"/>
        <w:ind w:firstLineChars="200" w:firstLine="560"/>
        <w:jc w:val="left"/>
        <w:rPr>
          <w:rFonts w:ascii="仿宋" w:eastAsia="仿宋" w:hAnsi="仿宋" w:cs="宋体" w:hint="eastAsia"/>
          <w:sz w:val="28"/>
          <w:szCs w:val="28"/>
        </w:rPr>
      </w:pPr>
      <w:r>
        <w:rPr>
          <w:rFonts w:ascii="仿宋" w:eastAsia="仿宋" w:hAnsi="仿宋" w:cs="宋体" w:hint="eastAsia"/>
          <w:sz w:val="28"/>
          <w:szCs w:val="28"/>
        </w:rPr>
        <w:t>根据国家文化和旅游部网站统计公报，2016年我国各类国有美术馆和在民政部门登记注册的美术馆400余家，2021年增至682家。根据江苏省</w:t>
      </w:r>
      <w:proofErr w:type="gramStart"/>
      <w:r>
        <w:rPr>
          <w:rFonts w:ascii="仿宋" w:eastAsia="仿宋" w:hAnsi="仿宋" w:cs="宋体" w:hint="eastAsia"/>
          <w:sz w:val="28"/>
          <w:szCs w:val="28"/>
        </w:rPr>
        <w:t>文旅厅</w:t>
      </w:r>
      <w:proofErr w:type="gramEnd"/>
      <w:r>
        <w:rPr>
          <w:rFonts w:ascii="仿宋" w:eastAsia="仿宋" w:hAnsi="仿宋" w:cs="宋体" w:hint="eastAsia"/>
          <w:sz w:val="28"/>
          <w:szCs w:val="28"/>
        </w:rPr>
        <w:t>相关信息公布及江苏美术馆馆际联盟统计，2016年江苏省内美术馆共计27家，2024年初增加至86家，其中国有美术馆49家，非国有美术馆37家，江苏省的美术馆事业也进入了大发展时期。随着国家各级美术馆建设的快速发展，由文旅部组织编制了《公共美术馆建设标准》，并于2018年起施行，这为全国公共美术馆的建设提供了制度性指导。由于国家公共美术馆的建设起步较晚，缺乏实践运行经验，所以部分公共美术馆在运行维护管理方面还存在一些问题。特别在重要的设施设备运行与维护管理方面没有统一规范性指导文件，重要的设施设备无法得到全面维护和管理，导致在安全和运行上容易出现问题。</w:t>
      </w:r>
    </w:p>
    <w:p w14:paraId="3FE5DC70" w14:textId="41FFF112" w:rsidR="0061785D" w:rsidRDefault="00000000">
      <w:pPr>
        <w:spacing w:line="580" w:lineRule="exact"/>
        <w:ind w:firstLineChars="200" w:firstLine="560"/>
        <w:jc w:val="left"/>
        <w:rPr>
          <w:rFonts w:ascii="黑体" w:eastAsia="黑体" w:hAnsi="黑体" w:cs="黑体" w:hint="eastAsia"/>
          <w:sz w:val="28"/>
          <w:szCs w:val="28"/>
        </w:rPr>
      </w:pPr>
      <w:r>
        <w:rPr>
          <w:rFonts w:ascii="仿宋" w:eastAsia="仿宋" w:hAnsi="仿宋" w:cs="宋体" w:hint="eastAsia"/>
          <w:sz w:val="28"/>
          <w:szCs w:val="28"/>
        </w:rPr>
        <w:t>随着国家逐步加大对美术馆事业的投入，新建的美术馆如雨后春笋拔地而起，原有</w:t>
      </w:r>
      <w:proofErr w:type="gramStart"/>
      <w:r>
        <w:rPr>
          <w:rFonts w:ascii="仿宋" w:eastAsia="仿宋" w:hAnsi="仿宋" w:cs="宋体" w:hint="eastAsia"/>
          <w:sz w:val="28"/>
          <w:szCs w:val="28"/>
        </w:rPr>
        <w:t>文博类</w:t>
      </w:r>
      <w:r w:rsidR="001A2AF3">
        <w:rPr>
          <w:rFonts w:ascii="仿宋" w:eastAsia="仿宋" w:hAnsi="仿宋" w:cs="宋体" w:hint="eastAsia"/>
          <w:sz w:val="28"/>
          <w:szCs w:val="28"/>
        </w:rPr>
        <w:t>设施</w:t>
      </w:r>
      <w:proofErr w:type="gramEnd"/>
      <w:r w:rsidR="001A2AF3">
        <w:rPr>
          <w:rFonts w:ascii="仿宋" w:eastAsia="仿宋" w:hAnsi="仿宋" w:cs="宋体" w:hint="eastAsia"/>
          <w:sz w:val="28"/>
          <w:szCs w:val="28"/>
        </w:rPr>
        <w:t>设备</w:t>
      </w:r>
      <w:r>
        <w:rPr>
          <w:rFonts w:ascii="仿宋" w:eastAsia="仿宋" w:hAnsi="仿宋" w:cs="宋体" w:hint="eastAsia"/>
          <w:sz w:val="28"/>
          <w:szCs w:val="28"/>
        </w:rPr>
        <w:t>厂家的研发转向了美术馆重要设施设备的方向，美术馆重要新型设施设备在新建场馆也得到广泛的运用。在实际情况</w:t>
      </w:r>
      <w:r>
        <w:rPr>
          <w:rFonts w:ascii="仿宋" w:eastAsia="仿宋" w:hAnsi="仿宋" w:cs="宋体" w:hint="eastAsia"/>
          <w:sz w:val="28"/>
          <w:szCs w:val="28"/>
        </w:rPr>
        <w:lastRenderedPageBreak/>
        <w:t>中，新建和部分老旧场馆缺乏专业人员和运行维护管理办法，导致美术馆重要设备设施无法发挥它原有的功效，部分设备设施甚至出现安全问题，严重影响展览、藏品以及公共教育的安全和相关工作的正常开展。重要设施设备</w:t>
      </w:r>
      <w:r w:rsidR="001A2AF3">
        <w:rPr>
          <w:rFonts w:ascii="仿宋" w:eastAsia="仿宋" w:hAnsi="仿宋" w:cs="宋体" w:hint="eastAsia"/>
          <w:sz w:val="28"/>
          <w:szCs w:val="28"/>
        </w:rPr>
        <w:t>的运行管理</w:t>
      </w:r>
      <w:r>
        <w:rPr>
          <w:rFonts w:ascii="仿宋" w:eastAsia="仿宋" w:hAnsi="仿宋" w:cs="宋体" w:hint="eastAsia"/>
          <w:sz w:val="28"/>
          <w:szCs w:val="28"/>
        </w:rPr>
        <w:t>不仅包括日常的检查、维修，</w:t>
      </w:r>
      <w:r w:rsidR="001A2AF3">
        <w:rPr>
          <w:rFonts w:ascii="仿宋" w:eastAsia="仿宋" w:hAnsi="仿宋" w:cs="宋体" w:hint="eastAsia"/>
          <w:sz w:val="28"/>
          <w:szCs w:val="28"/>
        </w:rPr>
        <w:t>以及</w:t>
      </w:r>
      <w:r>
        <w:rPr>
          <w:rFonts w:ascii="仿宋" w:eastAsia="仿宋" w:hAnsi="仿宋" w:cs="宋体" w:hint="eastAsia"/>
          <w:sz w:val="28"/>
          <w:szCs w:val="28"/>
        </w:rPr>
        <w:t>日常使用和操作管理的规范化，也是一种</w:t>
      </w:r>
      <w:r w:rsidR="001A2AF3">
        <w:rPr>
          <w:rFonts w:ascii="仿宋" w:eastAsia="仿宋" w:hAnsi="仿宋" w:cs="宋体" w:hint="eastAsia"/>
          <w:sz w:val="28"/>
          <w:szCs w:val="28"/>
        </w:rPr>
        <w:t>全过程</w:t>
      </w:r>
      <w:r>
        <w:rPr>
          <w:rFonts w:ascii="仿宋" w:eastAsia="仿宋" w:hAnsi="仿宋" w:cs="宋体" w:hint="eastAsia"/>
          <w:sz w:val="28"/>
          <w:szCs w:val="28"/>
        </w:rPr>
        <w:t>维护，这对重</w:t>
      </w:r>
      <w:proofErr w:type="gramStart"/>
      <w:r>
        <w:rPr>
          <w:rFonts w:ascii="仿宋" w:eastAsia="仿宋" w:hAnsi="仿宋" w:cs="宋体" w:hint="eastAsia"/>
          <w:sz w:val="28"/>
          <w:szCs w:val="28"/>
        </w:rPr>
        <w:t>要设施</w:t>
      </w:r>
      <w:proofErr w:type="gramEnd"/>
      <w:r>
        <w:rPr>
          <w:rFonts w:ascii="仿宋" w:eastAsia="仿宋" w:hAnsi="仿宋" w:cs="宋体" w:hint="eastAsia"/>
          <w:sz w:val="28"/>
          <w:szCs w:val="28"/>
        </w:rPr>
        <w:t>设备的安全和正常使用而言具有重要意义。所以本次申请关于公共美术馆重要设施设备运行管理规范，能够帮助所有美术馆的管理运行人员更好更快的掌握对重</w:t>
      </w:r>
      <w:proofErr w:type="gramStart"/>
      <w:r>
        <w:rPr>
          <w:rFonts w:ascii="仿宋" w:eastAsia="仿宋" w:hAnsi="仿宋" w:cs="宋体" w:hint="eastAsia"/>
          <w:sz w:val="28"/>
          <w:szCs w:val="28"/>
        </w:rPr>
        <w:t>要设施</w:t>
      </w:r>
      <w:proofErr w:type="gramEnd"/>
      <w:r>
        <w:rPr>
          <w:rFonts w:ascii="仿宋" w:eastAsia="仿宋" w:hAnsi="仿宋" w:cs="宋体" w:hint="eastAsia"/>
          <w:sz w:val="28"/>
          <w:szCs w:val="28"/>
        </w:rPr>
        <w:t xml:space="preserve">设备的运行和管理，解决新技术新设备在新场馆的运行和管理问题，让新型的设施设备得到规范化的维护和管理。                                                              </w:t>
      </w:r>
      <w:r>
        <w:rPr>
          <w:rFonts w:ascii="黑体" w:eastAsia="黑体" w:hAnsi="黑体" w:cs="黑体" w:hint="eastAsia"/>
          <w:sz w:val="28"/>
          <w:szCs w:val="28"/>
        </w:rPr>
        <w:t>二、任务来源</w:t>
      </w:r>
    </w:p>
    <w:p w14:paraId="12FAB4C6" w14:textId="77777777" w:rsidR="0061785D" w:rsidRDefault="00000000">
      <w:pPr>
        <w:spacing w:line="580" w:lineRule="exact"/>
        <w:rPr>
          <w:rFonts w:ascii="仿宋" w:eastAsia="仿宋" w:hAnsi="仿宋" w:cs="宋体" w:hint="eastAsia"/>
          <w:b/>
          <w:bCs/>
          <w:sz w:val="28"/>
          <w:szCs w:val="28"/>
        </w:rPr>
      </w:pPr>
      <w:r>
        <w:rPr>
          <w:rFonts w:ascii="仿宋" w:eastAsia="仿宋" w:hAnsi="仿宋" w:cs="宋体" w:hint="eastAsia"/>
          <w:b/>
          <w:bCs/>
          <w:sz w:val="28"/>
          <w:szCs w:val="28"/>
        </w:rPr>
        <w:t>2.1项目来源</w:t>
      </w:r>
    </w:p>
    <w:p w14:paraId="356D2C65" w14:textId="77777777" w:rsidR="0061785D" w:rsidRDefault="00000000">
      <w:pPr>
        <w:spacing w:line="58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2022年11月，江苏省市场监督局发布了关于组织申报2023年度江苏省地方标准项目的通知。江苏省美术馆通过十多年自身发展历程，以及帮助全国几十家美术馆的建设和运行维护的顾问实践，摸索和总结出公共美术馆专业设施设备运行维护管理的相关办法，保障了美术馆的长年正常运行。公共美术馆重要设施设备运行管理规范可以帮助省内美术馆，乃至全国美术馆，都能安全合理高效的使用重要设施设备，</w:t>
      </w:r>
      <w:proofErr w:type="gramStart"/>
      <w:r>
        <w:rPr>
          <w:rFonts w:ascii="仿宋" w:eastAsia="仿宋" w:hAnsi="仿宋" w:cs="宋体" w:hint="eastAsia"/>
          <w:sz w:val="28"/>
          <w:szCs w:val="28"/>
        </w:rPr>
        <w:t>让重要</w:t>
      </w:r>
      <w:proofErr w:type="gramEnd"/>
      <w:r>
        <w:rPr>
          <w:rFonts w:ascii="仿宋" w:eastAsia="仿宋" w:hAnsi="仿宋" w:cs="宋体" w:hint="eastAsia"/>
          <w:sz w:val="28"/>
          <w:szCs w:val="28"/>
        </w:rPr>
        <w:t>设施设备更好的服务美术馆，使美术馆在安全、展示、保存等方面得到质的提升。</w:t>
      </w:r>
    </w:p>
    <w:p w14:paraId="46EBC054" w14:textId="77777777" w:rsidR="0061785D" w:rsidRDefault="00000000">
      <w:pPr>
        <w:spacing w:line="58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2023年3月，江苏省美术馆组建标准起草工作组，完成了《公共美术馆重要设施设备运行管理规范》标准申请书以及《公共美术馆重要设施设备运行管理规范（草案）》文稿，并上交至江苏省文化和旅游厅。随后，在江苏省文化和旅游厅的推荐下，本标准申请书和标准草案推送到江苏省市场</w:t>
      </w:r>
      <w:r>
        <w:rPr>
          <w:rFonts w:ascii="仿宋" w:eastAsia="仿宋" w:hAnsi="仿宋" w:cs="宋体" w:hint="eastAsia"/>
          <w:sz w:val="28"/>
          <w:szCs w:val="28"/>
        </w:rPr>
        <w:lastRenderedPageBreak/>
        <w:t>监督管理局。</w:t>
      </w:r>
    </w:p>
    <w:p w14:paraId="7AA91F8C" w14:textId="77777777" w:rsidR="0061785D" w:rsidRDefault="00000000">
      <w:pPr>
        <w:spacing w:line="58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2023年8月，江苏省市场监督管理局下达了关于2023年度江苏省地方标准项目计划的通知,批准了本标准的立项，计划编号为162。</w:t>
      </w:r>
    </w:p>
    <w:p w14:paraId="2EB16D91" w14:textId="77777777" w:rsidR="0061785D" w:rsidRDefault="00000000">
      <w:pPr>
        <w:spacing w:line="580" w:lineRule="exact"/>
        <w:rPr>
          <w:rFonts w:ascii="仿宋" w:eastAsia="仿宋" w:hAnsi="仿宋" w:cs="宋体" w:hint="eastAsia"/>
          <w:sz w:val="28"/>
          <w:szCs w:val="28"/>
        </w:rPr>
      </w:pPr>
      <w:r>
        <w:rPr>
          <w:rFonts w:ascii="仿宋" w:eastAsia="仿宋" w:hAnsi="仿宋" w:cs="宋体" w:hint="eastAsia"/>
          <w:b/>
          <w:bCs/>
          <w:sz w:val="28"/>
          <w:szCs w:val="28"/>
        </w:rPr>
        <w:t>2.2立项标准名称</w:t>
      </w:r>
      <w:r>
        <w:rPr>
          <w:rFonts w:ascii="仿宋" w:eastAsia="仿宋" w:hAnsi="仿宋" w:cs="宋体" w:hint="eastAsia"/>
          <w:sz w:val="28"/>
          <w:szCs w:val="28"/>
        </w:rPr>
        <w:t>：公共美术馆专业设施设备运行维护管理规范</w:t>
      </w:r>
    </w:p>
    <w:p w14:paraId="441795F2" w14:textId="77777777" w:rsidR="0061785D" w:rsidRDefault="00000000">
      <w:pPr>
        <w:spacing w:line="580" w:lineRule="exact"/>
        <w:rPr>
          <w:rFonts w:ascii="仿宋" w:eastAsia="仿宋" w:hAnsi="仿宋" w:cs="宋体" w:hint="eastAsia"/>
          <w:sz w:val="28"/>
          <w:szCs w:val="28"/>
        </w:rPr>
      </w:pPr>
      <w:r>
        <w:rPr>
          <w:rFonts w:ascii="仿宋" w:eastAsia="仿宋" w:hAnsi="仿宋" w:cs="宋体" w:hint="eastAsia"/>
          <w:b/>
          <w:bCs/>
          <w:sz w:val="28"/>
          <w:szCs w:val="28"/>
        </w:rPr>
        <w:t>2.3承担单位</w:t>
      </w:r>
      <w:r>
        <w:rPr>
          <w:rFonts w:ascii="仿宋" w:eastAsia="仿宋" w:hAnsi="仿宋" w:cs="宋体" w:hint="eastAsia"/>
          <w:sz w:val="28"/>
          <w:szCs w:val="28"/>
        </w:rPr>
        <w:t>：江苏省美术馆</w:t>
      </w:r>
    </w:p>
    <w:p w14:paraId="5E29A976" w14:textId="77777777" w:rsidR="0061785D" w:rsidRDefault="00000000">
      <w:pPr>
        <w:spacing w:line="580" w:lineRule="exact"/>
        <w:rPr>
          <w:rFonts w:ascii="仿宋" w:eastAsia="仿宋" w:hAnsi="仿宋" w:cs="宋体" w:hint="eastAsia"/>
          <w:sz w:val="28"/>
          <w:szCs w:val="28"/>
        </w:rPr>
      </w:pPr>
      <w:r>
        <w:rPr>
          <w:rFonts w:ascii="仿宋" w:eastAsia="仿宋" w:hAnsi="仿宋" w:cs="宋体" w:hint="eastAsia"/>
          <w:b/>
          <w:bCs/>
          <w:sz w:val="28"/>
          <w:szCs w:val="28"/>
        </w:rPr>
        <w:t>2.4推荐单位</w:t>
      </w:r>
      <w:r>
        <w:rPr>
          <w:rFonts w:ascii="仿宋" w:eastAsia="仿宋" w:hAnsi="仿宋" w:cs="宋体" w:hint="eastAsia"/>
          <w:sz w:val="28"/>
          <w:szCs w:val="28"/>
        </w:rPr>
        <w:t>：江苏省文化和旅游厅</w:t>
      </w:r>
    </w:p>
    <w:p w14:paraId="6EE9A9E8" w14:textId="77777777" w:rsidR="0061785D" w:rsidRDefault="00000000">
      <w:pPr>
        <w:spacing w:line="580" w:lineRule="exact"/>
        <w:rPr>
          <w:rFonts w:ascii="黑体" w:eastAsia="黑体" w:hAnsi="黑体" w:cs="方正仿宋_GBK" w:hint="eastAsia"/>
          <w:sz w:val="28"/>
          <w:szCs w:val="28"/>
        </w:rPr>
      </w:pPr>
      <w:r>
        <w:rPr>
          <w:rFonts w:ascii="黑体" w:eastAsia="黑体" w:hAnsi="黑体" w:cs="黑体" w:hint="eastAsia"/>
          <w:sz w:val="28"/>
          <w:szCs w:val="28"/>
        </w:rPr>
        <w:t>三、编制过程</w:t>
      </w:r>
    </w:p>
    <w:p w14:paraId="69AF47D2" w14:textId="77777777" w:rsidR="0061785D" w:rsidRDefault="00000000">
      <w:pPr>
        <w:spacing w:line="360" w:lineRule="auto"/>
        <w:rPr>
          <w:rFonts w:ascii="仿宋" w:eastAsia="仿宋" w:hAnsi="仿宋" w:cs="宋体" w:hint="eastAsia"/>
          <w:b/>
          <w:bCs/>
          <w:sz w:val="28"/>
          <w:szCs w:val="28"/>
        </w:rPr>
      </w:pPr>
      <w:r>
        <w:rPr>
          <w:rFonts w:ascii="仿宋" w:eastAsia="仿宋" w:hAnsi="仿宋" w:cs="宋体" w:hint="eastAsia"/>
          <w:b/>
          <w:bCs/>
          <w:sz w:val="28"/>
          <w:szCs w:val="28"/>
        </w:rPr>
        <w:t>3.1立项启动阶段</w:t>
      </w:r>
    </w:p>
    <w:p w14:paraId="10189298"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在本标准获得正式立项批准之前，承担单位已积极开展启动准备工作，收集分析相关资料，起草标准编制大纲和工作计划。</w:t>
      </w:r>
    </w:p>
    <w:p w14:paraId="66878C40"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2023年3月，承担单位组建了标准编制起草工作组，工作组成员主要包括公共美术馆运行管理一线人员、美术馆重要设施设备相关技术的高校和设计院人员、相关专业设施设备厂家技术人员等。</w:t>
      </w:r>
    </w:p>
    <w:p w14:paraId="381307CB"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根据立项批准，起草组重新修改完善了标准编制工作计划和编写大纲，并对各阶段任务等做了初步规划。同时，标准起草工作组成员认真学习了GB/T 1.1-2020《标准化工作导则第1部分：标准的结构和编写规范》，GB/T 20000.2-2020《标准化工作指南第2部分：采用国际标准的规则》。</w:t>
      </w:r>
    </w:p>
    <w:p w14:paraId="0075108A" w14:textId="77777777" w:rsidR="0061785D" w:rsidRDefault="00000000">
      <w:pPr>
        <w:spacing w:line="360" w:lineRule="auto"/>
        <w:rPr>
          <w:rFonts w:ascii="仿宋" w:eastAsia="仿宋" w:hAnsi="仿宋" w:cs="宋体" w:hint="eastAsia"/>
          <w:b/>
          <w:bCs/>
          <w:sz w:val="28"/>
          <w:szCs w:val="28"/>
        </w:rPr>
      </w:pPr>
      <w:r>
        <w:rPr>
          <w:rFonts w:ascii="仿宋" w:eastAsia="仿宋" w:hAnsi="仿宋" w:cs="宋体" w:hint="eastAsia"/>
          <w:b/>
          <w:bCs/>
          <w:sz w:val="28"/>
          <w:szCs w:val="28"/>
        </w:rPr>
        <w:t>3.2起草编制阶段</w:t>
      </w:r>
    </w:p>
    <w:p w14:paraId="226DD3E7"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2023年3月起，本标准起草工作组在对当前国内已经发布的相关规范和标准进行了深入研读和对照分析的基础上，结合地方标准格式要求，依据标准编写的标准GB/T 1.1-2020的规定，开展本标准的研究和编制工作，</w:t>
      </w:r>
      <w:r>
        <w:rPr>
          <w:rFonts w:ascii="仿宋" w:eastAsia="仿宋" w:hAnsi="仿宋" w:cs="宋体" w:hint="eastAsia"/>
          <w:sz w:val="28"/>
          <w:szCs w:val="28"/>
        </w:rPr>
        <w:lastRenderedPageBreak/>
        <w:t>利用标准化管理单位提供的标准编辑模板进行编辑整理。</w:t>
      </w:r>
    </w:p>
    <w:p w14:paraId="6E45B765"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2023年9月开始标准起草工作组成员通过组织和自行前往的方式对国内各大美术馆的运行情况进行了调研，充分了解和总结了当前国内美术馆重要设施设备运行的实际情况，结合省内美术馆运行的实际情况对标准内容进行了相应的修改和完善。</w:t>
      </w:r>
    </w:p>
    <w:p w14:paraId="23EDE896"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2024年1月，结合国内各大美术馆以及江苏省内的调研情况，本标准起草工作小组多次就已有标准的废止和修订问题进行了沟通协调，于2024年3月基本达成共识，并进一步完善了标准内容。</w:t>
      </w:r>
    </w:p>
    <w:p w14:paraId="62D79178"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2024年3月，起草工作组组织召开内部专家咨询会，邀请了江苏省美术馆各部门主任，包括美术馆展览部主任吴扬副研究馆员、典藏部主任李欣副研究馆员、办公室主任陈岚副研究馆员等，就编制组初步制定的标准稿（初稿）进行讨论，起草工作组根据专家意见再次对标准制定范围和内容条文进行完善。</w:t>
      </w:r>
    </w:p>
    <w:p w14:paraId="652822D8"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2024年7月，工作组结合文献调研、专家研讨、实地调研，并总结各方面专家意见和建议，讨论与完善标准制定范围和内容条文，最终形成了本标准征求意见稿。</w:t>
      </w:r>
    </w:p>
    <w:p w14:paraId="2F6E3542"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2024年9月，工作组将征求意见稿发送给省内外各级美术馆单位约11家，收回反馈意见10家。（详见征求意见稿反馈情况汇总表）</w:t>
      </w:r>
    </w:p>
    <w:p w14:paraId="4EE1A042" w14:textId="77777777" w:rsidR="0061785D" w:rsidRDefault="00000000">
      <w:pPr>
        <w:spacing w:line="360" w:lineRule="auto"/>
        <w:ind w:firstLineChars="200" w:firstLine="560"/>
        <w:rPr>
          <w:rFonts w:ascii="仿宋" w:eastAsia="仿宋" w:hAnsi="仿宋" w:cs="宋体" w:hint="eastAsia"/>
          <w:sz w:val="28"/>
          <w:szCs w:val="28"/>
        </w:rPr>
      </w:pPr>
      <w:r>
        <w:rPr>
          <w:rFonts w:ascii="仿宋" w:eastAsia="仿宋" w:hAnsi="仿宋" w:cs="宋体" w:hint="eastAsia"/>
          <w:sz w:val="28"/>
          <w:szCs w:val="28"/>
        </w:rPr>
        <w:t>2024年11月，工作组召开编制人员研讨会，集中讨论征求意见稿的反馈意见，形成标准送审稿。</w:t>
      </w:r>
    </w:p>
    <w:p w14:paraId="3FCE7543" w14:textId="77777777" w:rsidR="0061785D" w:rsidRDefault="00000000">
      <w:pPr>
        <w:spacing w:line="580" w:lineRule="exact"/>
        <w:rPr>
          <w:rFonts w:ascii="黑体" w:eastAsia="黑体" w:hAnsi="黑体" w:cs="黑体" w:hint="eastAsia"/>
          <w:sz w:val="28"/>
          <w:szCs w:val="28"/>
        </w:rPr>
      </w:pPr>
      <w:r>
        <w:rPr>
          <w:rFonts w:ascii="黑体" w:eastAsia="黑体" w:hAnsi="黑体" w:cs="黑体" w:hint="eastAsia"/>
          <w:sz w:val="28"/>
          <w:szCs w:val="28"/>
        </w:rPr>
        <w:lastRenderedPageBreak/>
        <w:t>四、主要内容及技术指标确定的依据</w:t>
      </w:r>
    </w:p>
    <w:p w14:paraId="5D3BE448" w14:textId="77777777" w:rsidR="0061785D" w:rsidRDefault="00000000">
      <w:pPr>
        <w:spacing w:line="360" w:lineRule="auto"/>
        <w:rPr>
          <w:rFonts w:ascii="仿宋" w:eastAsia="仿宋" w:hAnsi="仿宋" w:cs="宋体" w:hint="eastAsia"/>
          <w:b/>
          <w:bCs/>
          <w:sz w:val="28"/>
          <w:szCs w:val="28"/>
        </w:rPr>
      </w:pPr>
      <w:r>
        <w:rPr>
          <w:rFonts w:ascii="仿宋" w:eastAsia="仿宋" w:hAnsi="仿宋" w:cs="宋体" w:hint="eastAsia"/>
          <w:b/>
          <w:bCs/>
          <w:sz w:val="28"/>
          <w:szCs w:val="28"/>
        </w:rPr>
        <w:t>4.1标准编制原则</w:t>
      </w:r>
    </w:p>
    <w:p w14:paraId="684AA6C9" w14:textId="77777777" w:rsidR="0061785D" w:rsidRDefault="00000000">
      <w:pPr>
        <w:spacing w:line="580" w:lineRule="exact"/>
        <w:ind w:firstLine="640"/>
        <w:rPr>
          <w:rFonts w:ascii="仿宋" w:eastAsia="仿宋" w:hAnsi="仿宋" w:cs="宋体" w:hint="eastAsia"/>
          <w:sz w:val="28"/>
          <w:szCs w:val="28"/>
        </w:rPr>
      </w:pPr>
      <w:r>
        <w:rPr>
          <w:rFonts w:ascii="仿宋" w:eastAsia="仿宋" w:hAnsi="仿宋" w:cs="宋体" w:hint="eastAsia"/>
          <w:sz w:val="28"/>
          <w:szCs w:val="28"/>
        </w:rPr>
        <w:t>本标准编制中认真遵循了科学性、准确性、规范性和可操作性等原则，并重点关注了以下几个方面：</w:t>
      </w:r>
    </w:p>
    <w:p w14:paraId="0E469B6A" w14:textId="77777777" w:rsidR="0061785D" w:rsidRDefault="00000000">
      <w:pPr>
        <w:spacing w:line="580" w:lineRule="exact"/>
        <w:ind w:firstLine="640"/>
        <w:rPr>
          <w:rFonts w:ascii="仿宋" w:eastAsia="仿宋" w:hAnsi="仿宋" w:cs="宋体" w:hint="eastAsia"/>
          <w:sz w:val="28"/>
          <w:szCs w:val="28"/>
        </w:rPr>
      </w:pPr>
      <w:r>
        <w:rPr>
          <w:rFonts w:ascii="仿宋" w:eastAsia="仿宋" w:hAnsi="仿宋" w:cs="宋体" w:hint="eastAsia"/>
          <w:sz w:val="28"/>
          <w:szCs w:val="28"/>
        </w:rPr>
        <w:t>（1）妥善处理与相关法律法规、国家标准、行业标准之间的关系，特别是与现有强制性国家标准和行业标准中强制性条文之间的有机衔接。本标准工作组充分研究已正式发布的美术馆相关设施设备的技术与管理标准或规范要求，提炼其中共性内容，兼容差异性部分，使其可适用于公共美术馆专业设施设备的实际运行管理指导工作。</w:t>
      </w:r>
    </w:p>
    <w:p w14:paraId="52398EC7" w14:textId="77777777" w:rsidR="0061785D" w:rsidRDefault="00000000">
      <w:pPr>
        <w:spacing w:line="580" w:lineRule="exact"/>
        <w:ind w:firstLine="640"/>
        <w:rPr>
          <w:rFonts w:ascii="仿宋" w:eastAsia="仿宋" w:hAnsi="仿宋" w:cs="宋体" w:hint="eastAsia"/>
          <w:sz w:val="28"/>
          <w:szCs w:val="28"/>
        </w:rPr>
      </w:pPr>
      <w:r>
        <w:rPr>
          <w:rFonts w:ascii="仿宋" w:eastAsia="仿宋" w:hAnsi="仿宋" w:cs="宋体" w:hint="eastAsia"/>
          <w:sz w:val="28"/>
          <w:szCs w:val="28"/>
        </w:rPr>
        <w:t>（2）注重编写质量，尽可能做到科学、严谨、实用。本标准的体例及文本编写严格执行GB 1.1-2020的相关要求，规范美术馆重要设施设备运行管理工作。在编制过程中力求紧密结合公共美术馆的功能特点和实际需求，遵循“统一性、协调性、适应性、规范性、实用性”的原则。</w:t>
      </w:r>
    </w:p>
    <w:p w14:paraId="5A75218D" w14:textId="77777777" w:rsidR="0061785D" w:rsidRDefault="00000000">
      <w:pPr>
        <w:spacing w:line="360" w:lineRule="auto"/>
        <w:rPr>
          <w:rFonts w:ascii="仿宋" w:eastAsia="仿宋" w:hAnsi="仿宋" w:cs="宋体" w:hint="eastAsia"/>
          <w:b/>
          <w:bCs/>
          <w:sz w:val="28"/>
          <w:szCs w:val="28"/>
        </w:rPr>
      </w:pPr>
      <w:r>
        <w:rPr>
          <w:rFonts w:ascii="仿宋" w:eastAsia="仿宋" w:hAnsi="仿宋" w:cs="宋体" w:hint="eastAsia"/>
          <w:b/>
          <w:bCs/>
          <w:sz w:val="28"/>
          <w:szCs w:val="28"/>
        </w:rPr>
        <w:t>4.2标准编制参考及依据</w:t>
      </w:r>
    </w:p>
    <w:p w14:paraId="215C204E" w14:textId="77777777" w:rsidR="0061785D" w:rsidRDefault="00000000">
      <w:pPr>
        <w:spacing w:line="58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本标准编制参考了如下国家、地方、行业标准或规范要求：</w:t>
      </w:r>
    </w:p>
    <w:p w14:paraId="4640A07A"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GB 50365  </w:t>
      </w:r>
      <w:r>
        <w:rPr>
          <w:rFonts w:ascii="仿宋" w:eastAsia="仿宋" w:hAnsi="仿宋" w:cs="宋体" w:hint="eastAsia"/>
          <w:kern w:val="2"/>
          <w:sz w:val="28"/>
          <w:szCs w:val="28"/>
        </w:rPr>
        <w:t>空调通风系统运行管理标准</w:t>
      </w:r>
    </w:p>
    <w:p w14:paraId="69B8111B"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GB/T 16571  </w:t>
      </w:r>
      <w:r>
        <w:rPr>
          <w:rFonts w:ascii="仿宋" w:eastAsia="仿宋" w:hAnsi="仿宋" w:cs="宋体" w:hint="eastAsia"/>
          <w:kern w:val="2"/>
          <w:sz w:val="28"/>
          <w:szCs w:val="28"/>
        </w:rPr>
        <w:t>博物馆和文物保护单位安全防范系统要求</w:t>
      </w:r>
    </w:p>
    <w:p w14:paraId="420D03F9" w14:textId="77777777" w:rsidR="0061785D" w:rsidRDefault="00000000">
      <w:pPr>
        <w:pStyle w:val="afb"/>
        <w:ind w:firstLine="560"/>
        <w:rPr>
          <w:rFonts w:ascii="仿宋" w:eastAsia="仿宋" w:hAnsi="仿宋" w:cs="宋体" w:hint="eastAsia"/>
          <w:kern w:val="2"/>
          <w:sz w:val="28"/>
          <w:szCs w:val="28"/>
        </w:rPr>
      </w:pPr>
      <w:bookmarkStart w:id="0" w:name="_Hlk183698486"/>
      <w:r>
        <w:rPr>
          <w:rFonts w:ascii="仿宋" w:eastAsia="仿宋" w:hAnsi="仿宋" w:cs="宋体"/>
          <w:kern w:val="2"/>
          <w:sz w:val="28"/>
          <w:szCs w:val="28"/>
        </w:rPr>
        <w:t>GB/T 23863</w:t>
      </w:r>
      <w:bookmarkEnd w:id="0"/>
      <w:r>
        <w:rPr>
          <w:rFonts w:ascii="仿宋" w:eastAsia="仿宋" w:hAnsi="仿宋" w:cs="宋体"/>
          <w:kern w:val="2"/>
          <w:sz w:val="28"/>
          <w:szCs w:val="28"/>
        </w:rPr>
        <w:t xml:space="preserve">  </w:t>
      </w:r>
      <w:r>
        <w:rPr>
          <w:rFonts w:ascii="仿宋" w:eastAsia="仿宋" w:hAnsi="仿宋" w:cs="宋体" w:hint="eastAsia"/>
          <w:kern w:val="2"/>
          <w:sz w:val="28"/>
          <w:szCs w:val="28"/>
        </w:rPr>
        <w:t>博物馆照明设计规范</w:t>
      </w:r>
    </w:p>
    <w:p w14:paraId="74BED044"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GB/T 36110  </w:t>
      </w:r>
      <w:r>
        <w:rPr>
          <w:rFonts w:ascii="仿宋" w:eastAsia="仿宋" w:hAnsi="仿宋" w:cs="宋体" w:hint="eastAsia"/>
          <w:kern w:val="2"/>
          <w:sz w:val="28"/>
          <w:szCs w:val="28"/>
        </w:rPr>
        <w:t>文物展柜密封性能及检测</w:t>
      </w:r>
    </w:p>
    <w:p w14:paraId="3160172A"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GB 50352  </w:t>
      </w:r>
      <w:r>
        <w:rPr>
          <w:rFonts w:ascii="仿宋" w:eastAsia="仿宋" w:hAnsi="仿宋" w:cs="宋体" w:hint="eastAsia"/>
          <w:kern w:val="2"/>
          <w:sz w:val="28"/>
          <w:szCs w:val="28"/>
        </w:rPr>
        <w:t>民用建筑设计统一标准</w:t>
      </w:r>
    </w:p>
    <w:p w14:paraId="235E59EF"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GB 50370  </w:t>
      </w:r>
      <w:r>
        <w:rPr>
          <w:rFonts w:ascii="仿宋" w:eastAsia="仿宋" w:hAnsi="仿宋" w:cs="宋体" w:hint="eastAsia"/>
          <w:kern w:val="2"/>
          <w:sz w:val="28"/>
          <w:szCs w:val="28"/>
        </w:rPr>
        <w:t>气体灭火系统设计规范</w:t>
      </w:r>
    </w:p>
    <w:p w14:paraId="1CF96802"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lastRenderedPageBreak/>
        <w:t xml:space="preserve">JGJ 66  </w:t>
      </w:r>
      <w:r>
        <w:rPr>
          <w:rFonts w:ascii="仿宋" w:eastAsia="仿宋" w:hAnsi="仿宋" w:cs="宋体" w:hint="eastAsia"/>
          <w:kern w:val="2"/>
          <w:sz w:val="28"/>
          <w:szCs w:val="28"/>
        </w:rPr>
        <w:t>博物馆建筑设计规范</w:t>
      </w:r>
    </w:p>
    <w:p w14:paraId="437C9970"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JGJ/T 461  </w:t>
      </w:r>
      <w:r>
        <w:rPr>
          <w:rFonts w:ascii="仿宋" w:eastAsia="仿宋" w:hAnsi="仿宋" w:cs="宋体" w:hint="eastAsia"/>
          <w:kern w:val="2"/>
          <w:sz w:val="28"/>
          <w:szCs w:val="28"/>
        </w:rPr>
        <w:t>公共建筑室内空气质量控制设计标准</w:t>
      </w:r>
    </w:p>
    <w:p w14:paraId="42810BCE"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WS/T 396  </w:t>
      </w:r>
      <w:r>
        <w:rPr>
          <w:rFonts w:ascii="仿宋" w:eastAsia="仿宋" w:hAnsi="仿宋" w:cs="宋体" w:hint="eastAsia"/>
          <w:kern w:val="2"/>
          <w:sz w:val="28"/>
          <w:szCs w:val="28"/>
        </w:rPr>
        <w:t>公共场所集中空调通风系统清洗消毒规范</w:t>
      </w:r>
    </w:p>
    <w:p w14:paraId="00E96E8D"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hint="eastAsia"/>
          <w:kern w:val="2"/>
          <w:sz w:val="28"/>
          <w:szCs w:val="28"/>
        </w:rPr>
        <w:t>WH/T 98-2022 公共美术馆服务规范</w:t>
      </w:r>
    </w:p>
    <w:p w14:paraId="5AAA5C4B"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GA 27  </w:t>
      </w:r>
      <w:r>
        <w:rPr>
          <w:rFonts w:ascii="仿宋" w:eastAsia="仿宋" w:hAnsi="仿宋" w:cs="宋体" w:hint="eastAsia"/>
          <w:kern w:val="2"/>
          <w:sz w:val="28"/>
          <w:szCs w:val="28"/>
        </w:rPr>
        <w:t>文物系统博物馆风险等级和安全防护级别的规定</w:t>
      </w:r>
    </w:p>
    <w:p w14:paraId="6C3F1ADA"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DA/T 101</w:t>
      </w:r>
      <w:r>
        <w:rPr>
          <w:rFonts w:ascii="仿宋" w:eastAsia="仿宋" w:hAnsi="仿宋" w:cs="宋体" w:hint="eastAsia"/>
          <w:kern w:val="2"/>
          <w:sz w:val="28"/>
          <w:szCs w:val="28"/>
        </w:rPr>
        <w:t xml:space="preserve">  </w:t>
      </w:r>
      <w:r>
        <w:rPr>
          <w:rFonts w:ascii="仿宋" w:eastAsia="仿宋" w:hAnsi="仿宋" w:cs="宋体"/>
          <w:kern w:val="2"/>
          <w:sz w:val="28"/>
          <w:szCs w:val="28"/>
        </w:rPr>
        <w:t>恒温恒湿档案库房空调工程施工及质量验收规范</w:t>
      </w:r>
    </w:p>
    <w:p w14:paraId="2902764F"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DB 32/T989  </w:t>
      </w:r>
      <w:r>
        <w:rPr>
          <w:rFonts w:ascii="仿宋" w:eastAsia="仿宋" w:hAnsi="仿宋" w:cs="宋体" w:hint="eastAsia"/>
          <w:kern w:val="2"/>
          <w:sz w:val="28"/>
          <w:szCs w:val="28"/>
        </w:rPr>
        <w:t>低压电气装置规程</w:t>
      </w:r>
    </w:p>
    <w:p w14:paraId="3C84BAF9"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kern w:val="2"/>
          <w:sz w:val="28"/>
          <w:szCs w:val="28"/>
        </w:rPr>
        <w:t xml:space="preserve">DB 32/T989  </w:t>
      </w:r>
      <w:r>
        <w:rPr>
          <w:rFonts w:ascii="仿宋" w:eastAsia="仿宋" w:hAnsi="仿宋" w:cs="宋体" w:hint="eastAsia"/>
          <w:kern w:val="2"/>
          <w:sz w:val="28"/>
          <w:szCs w:val="28"/>
        </w:rPr>
        <w:t>低压电气装置规程</w:t>
      </w:r>
    </w:p>
    <w:p w14:paraId="53B1BA28"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hint="eastAsia"/>
          <w:kern w:val="2"/>
          <w:sz w:val="28"/>
          <w:szCs w:val="28"/>
        </w:rPr>
        <w:t>建标</w:t>
      </w:r>
      <w:r>
        <w:rPr>
          <w:rFonts w:ascii="仿宋" w:eastAsia="仿宋" w:hAnsi="仿宋" w:cs="宋体"/>
          <w:kern w:val="2"/>
          <w:sz w:val="28"/>
          <w:szCs w:val="28"/>
        </w:rPr>
        <w:t xml:space="preserve">193-2018  </w:t>
      </w:r>
      <w:r>
        <w:rPr>
          <w:rFonts w:ascii="仿宋" w:eastAsia="仿宋" w:hAnsi="仿宋" w:cs="宋体" w:hint="eastAsia"/>
          <w:kern w:val="2"/>
          <w:sz w:val="28"/>
          <w:szCs w:val="28"/>
        </w:rPr>
        <w:t>公共美术馆建设标准</w:t>
      </w:r>
    </w:p>
    <w:p w14:paraId="0E1D7ECE" w14:textId="77777777" w:rsidR="0061785D" w:rsidRDefault="00000000">
      <w:pPr>
        <w:spacing w:line="360" w:lineRule="auto"/>
        <w:rPr>
          <w:rFonts w:ascii="仿宋" w:eastAsia="仿宋" w:hAnsi="仿宋" w:cs="宋体" w:hint="eastAsia"/>
          <w:b/>
          <w:bCs/>
          <w:sz w:val="28"/>
          <w:szCs w:val="28"/>
        </w:rPr>
      </w:pPr>
      <w:r>
        <w:rPr>
          <w:rFonts w:ascii="仿宋" w:eastAsia="仿宋" w:hAnsi="仿宋" w:cs="宋体" w:hint="eastAsia"/>
          <w:b/>
          <w:bCs/>
          <w:sz w:val="28"/>
          <w:szCs w:val="28"/>
        </w:rPr>
        <w:t>4.3标准主要技术内容指标或要求</w:t>
      </w:r>
    </w:p>
    <w:p w14:paraId="70AE6930" w14:textId="77777777" w:rsidR="0061785D" w:rsidRDefault="00000000">
      <w:pPr>
        <w:pStyle w:val="afb"/>
        <w:ind w:firstLine="560"/>
        <w:rPr>
          <w:rFonts w:ascii="仿宋" w:eastAsia="仿宋" w:hAnsi="仿宋" w:cs="宋体" w:hint="eastAsia"/>
          <w:sz w:val="28"/>
          <w:szCs w:val="28"/>
        </w:rPr>
      </w:pPr>
      <w:r>
        <w:rPr>
          <w:rFonts w:ascii="仿宋" w:eastAsia="仿宋" w:hAnsi="仿宋" w:cs="宋体" w:hint="eastAsia"/>
          <w:sz w:val="28"/>
          <w:szCs w:val="28"/>
        </w:rPr>
        <w:t>本文件依据《标准化工作导则 第1部分：标准化文件的结构和起草规则》（GB/T 1.1-2020），参考国家文化和旅游部《</w:t>
      </w:r>
      <w:r>
        <w:rPr>
          <w:rFonts w:ascii="仿宋" w:eastAsia="仿宋" w:hAnsi="仿宋" w:cs="宋体" w:hint="eastAsia"/>
          <w:kern w:val="2"/>
          <w:sz w:val="28"/>
          <w:szCs w:val="28"/>
        </w:rPr>
        <w:t>公共美术馆建设标准  建标</w:t>
      </w:r>
      <w:r>
        <w:rPr>
          <w:rFonts w:ascii="仿宋" w:eastAsia="仿宋" w:hAnsi="仿宋" w:cs="宋体"/>
          <w:kern w:val="2"/>
          <w:sz w:val="28"/>
          <w:szCs w:val="28"/>
        </w:rPr>
        <w:t>193-2018</w:t>
      </w:r>
      <w:r>
        <w:rPr>
          <w:rFonts w:ascii="仿宋" w:eastAsia="仿宋" w:hAnsi="仿宋" w:cs="宋体" w:hint="eastAsia"/>
          <w:sz w:val="28"/>
          <w:szCs w:val="28"/>
        </w:rPr>
        <w:t>》相关文件，通过实地调研、专家座谈、组内研讨等形式，标准起草小组确立了标准的主要技术内容。江苏省地方标准《公共美术馆重要设施设备运行管理规范》对公共美术馆中重要设施设备的运行管理服务提出了要求和方法。共分为6个章节：</w:t>
      </w:r>
    </w:p>
    <w:p w14:paraId="212695FB" w14:textId="77777777" w:rsidR="0061785D" w:rsidRDefault="00000000">
      <w:pPr>
        <w:spacing w:line="580" w:lineRule="exact"/>
        <w:ind w:firstLine="640"/>
        <w:rPr>
          <w:rFonts w:ascii="仿宋" w:eastAsia="仿宋" w:hAnsi="仿宋" w:cs="宋体" w:hint="eastAsia"/>
          <w:sz w:val="28"/>
          <w:szCs w:val="28"/>
        </w:rPr>
      </w:pPr>
      <w:r>
        <w:rPr>
          <w:rFonts w:ascii="仿宋" w:eastAsia="仿宋" w:hAnsi="仿宋" w:cs="宋体" w:hint="eastAsia"/>
          <w:sz w:val="28"/>
          <w:szCs w:val="28"/>
        </w:rPr>
        <w:t>（1）范围：本文件对公共美术馆中重要设施设备的运行管理提出了要求和方法。适用于已建设完成并正式运行的公共美术馆，其他美术馆可参照执行。</w:t>
      </w:r>
    </w:p>
    <w:p w14:paraId="27C37B0E" w14:textId="77777777" w:rsidR="0061785D" w:rsidRDefault="00000000">
      <w:pPr>
        <w:spacing w:line="580" w:lineRule="exact"/>
        <w:ind w:firstLine="640"/>
        <w:rPr>
          <w:rFonts w:ascii="仿宋" w:eastAsia="仿宋" w:hAnsi="仿宋" w:cs="宋体" w:hint="eastAsia"/>
          <w:sz w:val="28"/>
          <w:szCs w:val="28"/>
        </w:rPr>
      </w:pPr>
      <w:r>
        <w:rPr>
          <w:rFonts w:ascii="仿宋" w:eastAsia="仿宋" w:hAnsi="仿宋" w:cs="宋体" w:hint="eastAsia"/>
          <w:sz w:val="28"/>
          <w:szCs w:val="28"/>
        </w:rPr>
        <w:t>（2）规范性引用文件</w:t>
      </w:r>
    </w:p>
    <w:p w14:paraId="3A546CA7" w14:textId="77777777" w:rsidR="0061785D" w:rsidRDefault="00000000">
      <w:pPr>
        <w:spacing w:line="580" w:lineRule="exact"/>
        <w:ind w:firstLine="640"/>
        <w:rPr>
          <w:rFonts w:ascii="仿宋" w:eastAsia="仿宋" w:hAnsi="仿宋" w:cs="宋体" w:hint="eastAsia"/>
          <w:sz w:val="28"/>
          <w:szCs w:val="28"/>
        </w:rPr>
      </w:pPr>
      <w:r>
        <w:rPr>
          <w:rFonts w:ascii="仿宋" w:eastAsia="仿宋" w:hAnsi="仿宋" w:cs="宋体" w:hint="eastAsia"/>
          <w:sz w:val="28"/>
          <w:szCs w:val="28"/>
        </w:rPr>
        <w:t>（3）术语和定义：本规范列出了公共美术馆及重要设施设备的术语，</w:t>
      </w:r>
      <w:r>
        <w:rPr>
          <w:rFonts w:ascii="仿宋" w:eastAsia="仿宋" w:hAnsi="仿宋" w:cs="宋体" w:hint="eastAsia"/>
          <w:sz w:val="28"/>
          <w:szCs w:val="28"/>
        </w:rPr>
        <w:lastRenderedPageBreak/>
        <w:t>并对其进行了定义，这些术语与本标准的规范内容联系紧密。</w:t>
      </w:r>
    </w:p>
    <w:p w14:paraId="21578D42" w14:textId="77777777" w:rsidR="0061785D" w:rsidRDefault="00000000">
      <w:pPr>
        <w:pStyle w:val="afb"/>
        <w:ind w:firstLine="560"/>
        <w:rPr>
          <w:rFonts w:ascii="仿宋" w:eastAsia="仿宋" w:hAnsi="仿宋" w:cs="宋体" w:hint="eastAsia"/>
          <w:sz w:val="28"/>
          <w:szCs w:val="28"/>
        </w:rPr>
      </w:pPr>
      <w:r>
        <w:rPr>
          <w:rFonts w:ascii="仿宋" w:eastAsia="仿宋" w:hAnsi="仿宋" w:cs="宋体" w:hint="eastAsia"/>
          <w:sz w:val="28"/>
          <w:szCs w:val="28"/>
        </w:rPr>
        <w:t>（4）基本要求：主要对一般要求、机构与人员要求、资料要求和安全要求等方面提出了规定和要求。</w:t>
      </w:r>
    </w:p>
    <w:p w14:paraId="1BCCB1BD"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hint="eastAsia"/>
          <w:sz w:val="28"/>
          <w:szCs w:val="28"/>
        </w:rPr>
        <w:t>（5）管理要求：</w:t>
      </w:r>
      <w:r>
        <w:rPr>
          <w:rFonts w:ascii="仿宋" w:eastAsia="仿宋" w:hAnsi="仿宋" w:cs="宋体" w:hint="eastAsia"/>
          <w:kern w:val="2"/>
          <w:sz w:val="28"/>
          <w:szCs w:val="28"/>
        </w:rPr>
        <w:t>本文件根据公共美术馆运行管理的特殊性和专业性，为区别于其它一般公共建筑，对其重要设施设备进行了分类，并根据分类内容分别提出了重要设施设备在运行前、运行中和运行后的具体管理技术要求和方法。</w:t>
      </w:r>
    </w:p>
    <w:p w14:paraId="3134C80B" w14:textId="77777777" w:rsidR="0061785D" w:rsidRDefault="00000000">
      <w:pPr>
        <w:pStyle w:val="afb"/>
        <w:ind w:firstLine="560"/>
        <w:rPr>
          <w:rFonts w:ascii="仿宋" w:eastAsia="仿宋" w:hAnsi="仿宋" w:cs="宋体" w:hint="eastAsia"/>
          <w:kern w:val="2"/>
          <w:sz w:val="28"/>
          <w:szCs w:val="28"/>
        </w:rPr>
      </w:pPr>
      <w:r>
        <w:rPr>
          <w:rFonts w:ascii="仿宋" w:eastAsia="仿宋" w:hAnsi="仿宋" w:cs="宋体" w:hint="eastAsia"/>
          <w:kern w:val="2"/>
          <w:sz w:val="28"/>
          <w:szCs w:val="28"/>
        </w:rPr>
        <w:t>分类情况：</w:t>
      </w:r>
    </w:p>
    <w:p w14:paraId="1CBCE427" w14:textId="77777777" w:rsidR="0061785D" w:rsidRDefault="00000000">
      <w:pPr>
        <w:pStyle w:val="a"/>
        <w:tabs>
          <w:tab w:val="left" w:pos="1844"/>
        </w:tabs>
        <w:rPr>
          <w:rFonts w:ascii="仿宋" w:eastAsia="仿宋" w:hAnsi="仿宋" w:cs="宋体" w:hint="eastAsia"/>
          <w:kern w:val="2"/>
          <w:sz w:val="28"/>
          <w:szCs w:val="28"/>
        </w:rPr>
      </w:pPr>
      <w:r>
        <w:rPr>
          <w:rFonts w:ascii="仿宋" w:eastAsia="仿宋" w:hAnsi="仿宋" w:cs="宋体" w:hint="eastAsia"/>
          <w:kern w:val="2"/>
          <w:sz w:val="28"/>
          <w:szCs w:val="28"/>
        </w:rPr>
        <w:t>储藏类设施设备：藏品库房门、密集架、收纳柜、恒温恒湿系统、修复保养等。</w:t>
      </w:r>
    </w:p>
    <w:p w14:paraId="17FFB764" w14:textId="77777777" w:rsidR="0061785D" w:rsidRDefault="00000000">
      <w:pPr>
        <w:pStyle w:val="a"/>
        <w:tabs>
          <w:tab w:val="left" w:pos="1844"/>
        </w:tabs>
        <w:rPr>
          <w:rFonts w:ascii="仿宋" w:eastAsia="仿宋" w:hAnsi="仿宋" w:cs="宋体" w:hint="eastAsia"/>
          <w:kern w:val="2"/>
          <w:sz w:val="28"/>
          <w:szCs w:val="28"/>
        </w:rPr>
      </w:pPr>
      <w:r>
        <w:rPr>
          <w:rFonts w:ascii="仿宋" w:eastAsia="仿宋" w:hAnsi="仿宋" w:cs="宋体" w:hint="eastAsia"/>
          <w:kern w:val="2"/>
          <w:sz w:val="28"/>
          <w:szCs w:val="28"/>
        </w:rPr>
        <w:t>展览类设施设备：固定展墙（板）、活动展墙（板）、展柜、展览照明、登高及运输等。</w:t>
      </w:r>
    </w:p>
    <w:p w14:paraId="41135D89" w14:textId="77777777" w:rsidR="0061785D" w:rsidRDefault="00000000">
      <w:pPr>
        <w:pStyle w:val="a"/>
        <w:tabs>
          <w:tab w:val="left" w:pos="1844"/>
        </w:tabs>
        <w:rPr>
          <w:rFonts w:ascii="仿宋" w:eastAsia="仿宋" w:hAnsi="仿宋" w:cs="宋体" w:hint="eastAsia"/>
          <w:kern w:val="2"/>
          <w:sz w:val="28"/>
          <w:szCs w:val="28"/>
        </w:rPr>
      </w:pPr>
      <w:r>
        <w:rPr>
          <w:rFonts w:ascii="仿宋" w:eastAsia="仿宋" w:hAnsi="仿宋" w:cs="宋体" w:hint="eastAsia"/>
          <w:kern w:val="2"/>
          <w:sz w:val="28"/>
          <w:szCs w:val="28"/>
        </w:rPr>
        <w:t>其它设施设备：安防系统、气体灭火系统、空调系统、网络系统、公共服务设施等</w:t>
      </w:r>
    </w:p>
    <w:p w14:paraId="5B25DDC9" w14:textId="77777777" w:rsidR="0061785D" w:rsidRDefault="00000000">
      <w:pPr>
        <w:spacing w:line="580" w:lineRule="exact"/>
        <w:ind w:firstLine="640"/>
        <w:rPr>
          <w:rFonts w:ascii="仿宋" w:eastAsia="仿宋" w:hAnsi="仿宋" w:cs="宋体" w:hint="eastAsia"/>
          <w:sz w:val="28"/>
          <w:szCs w:val="28"/>
        </w:rPr>
      </w:pPr>
      <w:r>
        <w:rPr>
          <w:rFonts w:ascii="仿宋" w:eastAsia="仿宋" w:hAnsi="仿宋" w:cs="宋体" w:hint="eastAsia"/>
          <w:sz w:val="28"/>
          <w:szCs w:val="28"/>
        </w:rPr>
        <w:t>（6）应急管理：对相关重要设施设备的应急管理提出要求和方法。</w:t>
      </w:r>
    </w:p>
    <w:p w14:paraId="3F4F41C2" w14:textId="77777777" w:rsidR="0061785D" w:rsidRDefault="00000000">
      <w:pPr>
        <w:spacing w:line="580" w:lineRule="exact"/>
        <w:rPr>
          <w:rFonts w:ascii="黑体" w:eastAsia="黑体" w:hAnsi="黑体" w:cs="黑体" w:hint="eastAsia"/>
          <w:sz w:val="28"/>
          <w:szCs w:val="28"/>
        </w:rPr>
      </w:pPr>
      <w:r>
        <w:rPr>
          <w:rFonts w:ascii="黑体" w:eastAsia="黑体" w:hAnsi="黑体" w:cs="黑体" w:hint="eastAsia"/>
          <w:sz w:val="28"/>
          <w:szCs w:val="28"/>
        </w:rPr>
        <w:t>五、与相关法律法规和国家标准的关系</w:t>
      </w:r>
    </w:p>
    <w:p w14:paraId="1BC91AD3" w14:textId="77777777" w:rsidR="0061785D" w:rsidRDefault="00000000">
      <w:pPr>
        <w:spacing w:line="360" w:lineRule="auto"/>
        <w:rPr>
          <w:rFonts w:ascii="仿宋" w:eastAsia="仿宋" w:hAnsi="仿宋" w:cs="宋体" w:hint="eastAsia"/>
          <w:sz w:val="28"/>
          <w:szCs w:val="28"/>
        </w:rPr>
      </w:pPr>
      <w:r>
        <w:rPr>
          <w:rFonts w:ascii="仿宋" w:eastAsia="仿宋" w:hAnsi="仿宋" w:cs="宋体" w:hint="eastAsia"/>
          <w:sz w:val="28"/>
          <w:szCs w:val="28"/>
        </w:rPr>
        <w:t>（1）本文件与有关现行法律、法规和强制性国家标准协调配套，没有冲突。</w:t>
      </w:r>
    </w:p>
    <w:p w14:paraId="00D0464E" w14:textId="77777777" w:rsidR="0061785D" w:rsidRDefault="00000000">
      <w:pPr>
        <w:snapToGrid w:val="0"/>
        <w:rPr>
          <w:rFonts w:ascii="仿宋" w:eastAsia="仿宋" w:hAnsi="仿宋" w:cs="宋体" w:hint="eastAsia"/>
          <w:sz w:val="28"/>
          <w:szCs w:val="28"/>
        </w:rPr>
      </w:pPr>
      <w:r>
        <w:rPr>
          <w:rFonts w:ascii="仿宋" w:eastAsia="仿宋" w:hAnsi="仿宋" w:cs="宋体" w:hint="eastAsia"/>
          <w:sz w:val="28"/>
          <w:szCs w:val="28"/>
        </w:rPr>
        <w:t>（2）本标准中的术语、总体原则、基本规定、采集内容、采集过程，与现行标准基本一致，并不与现有的相关标准存在重叠、交叉等情况。</w:t>
      </w:r>
    </w:p>
    <w:p w14:paraId="3D0CB8EE" w14:textId="77777777" w:rsidR="0061785D" w:rsidRDefault="00000000">
      <w:pPr>
        <w:spacing w:line="520" w:lineRule="exact"/>
        <w:rPr>
          <w:rFonts w:ascii="黑体" w:eastAsia="黑体" w:hAnsi="黑体" w:hint="eastAsia"/>
          <w:b/>
          <w:bCs/>
          <w:sz w:val="28"/>
          <w:szCs w:val="28"/>
        </w:rPr>
      </w:pPr>
      <w:r>
        <w:rPr>
          <w:rFonts w:ascii="黑体" w:eastAsia="黑体" w:hAnsi="黑体" w:hint="eastAsia"/>
          <w:b/>
          <w:bCs/>
          <w:sz w:val="28"/>
          <w:szCs w:val="28"/>
        </w:rPr>
        <w:t>六、重大分歧意见的处理经过和依据</w:t>
      </w:r>
    </w:p>
    <w:p w14:paraId="70A9707B" w14:textId="77777777" w:rsidR="0061785D" w:rsidRDefault="00000000">
      <w:pPr>
        <w:snapToGrid w:val="0"/>
        <w:spacing w:line="560" w:lineRule="exact"/>
        <w:ind w:firstLineChars="151" w:firstLine="423"/>
        <w:rPr>
          <w:rFonts w:ascii="仿宋" w:eastAsia="仿宋" w:hAnsi="仿宋" w:cs="宋体" w:hint="eastAsia"/>
          <w:sz w:val="28"/>
          <w:szCs w:val="28"/>
        </w:rPr>
      </w:pPr>
      <w:r>
        <w:rPr>
          <w:rFonts w:ascii="仿宋" w:eastAsia="仿宋" w:hAnsi="仿宋" w:cs="宋体" w:hint="eastAsia"/>
          <w:sz w:val="28"/>
          <w:szCs w:val="28"/>
        </w:rPr>
        <w:t>本文件编制中，充分听取了相关地区、部门以及行业专家对标准的期望和要求，并面向社会公开征求了相关意见，无重大分歧意见。</w:t>
      </w:r>
    </w:p>
    <w:p w14:paraId="25D33CA0" w14:textId="77777777" w:rsidR="0061785D" w:rsidRDefault="00000000">
      <w:pPr>
        <w:spacing w:line="520" w:lineRule="exact"/>
        <w:rPr>
          <w:rFonts w:ascii="黑体" w:eastAsia="黑体" w:hAnsi="黑体" w:hint="eastAsia"/>
          <w:b/>
          <w:bCs/>
          <w:sz w:val="28"/>
          <w:szCs w:val="28"/>
        </w:rPr>
      </w:pPr>
      <w:r>
        <w:rPr>
          <w:rFonts w:ascii="黑体" w:eastAsia="黑体" w:hAnsi="黑体" w:hint="eastAsia"/>
          <w:b/>
          <w:bCs/>
          <w:sz w:val="28"/>
          <w:szCs w:val="28"/>
        </w:rPr>
        <w:lastRenderedPageBreak/>
        <w:t>七、涉及专利的有关说明</w:t>
      </w:r>
    </w:p>
    <w:p w14:paraId="4A40869E" w14:textId="77777777" w:rsidR="0061785D" w:rsidRDefault="00000000">
      <w:pPr>
        <w:autoSpaceDE w:val="0"/>
        <w:autoSpaceDN w:val="0"/>
        <w:adjustRightInd w:val="0"/>
        <w:spacing w:line="520" w:lineRule="exact"/>
        <w:ind w:firstLineChars="200" w:firstLine="560"/>
        <w:rPr>
          <w:rFonts w:ascii="仿宋" w:eastAsia="仿宋" w:hAnsi="仿宋" w:hint="eastAsia"/>
          <w:kern w:val="0"/>
          <w:sz w:val="28"/>
          <w:szCs w:val="28"/>
        </w:rPr>
      </w:pPr>
      <w:r>
        <w:rPr>
          <w:rFonts w:ascii="仿宋" w:eastAsia="仿宋" w:hAnsi="仿宋" w:hint="eastAsia"/>
          <w:kern w:val="0"/>
          <w:sz w:val="28"/>
          <w:szCs w:val="28"/>
        </w:rPr>
        <w:t>本文件内容不涉及相关专利。</w:t>
      </w:r>
    </w:p>
    <w:p w14:paraId="0C843E89" w14:textId="77777777" w:rsidR="0061785D" w:rsidRDefault="00000000">
      <w:pPr>
        <w:spacing w:line="520" w:lineRule="exact"/>
        <w:rPr>
          <w:rFonts w:ascii="黑体" w:eastAsia="黑体" w:hAnsi="黑体" w:hint="eastAsia"/>
          <w:b/>
          <w:bCs/>
          <w:sz w:val="32"/>
          <w:szCs w:val="32"/>
        </w:rPr>
      </w:pPr>
      <w:r>
        <w:rPr>
          <w:rFonts w:ascii="黑体" w:eastAsia="黑体" w:hAnsi="黑体" w:hint="eastAsia"/>
          <w:b/>
          <w:bCs/>
          <w:sz w:val="28"/>
          <w:szCs w:val="28"/>
        </w:rPr>
        <w:t>八、实施标准的要求和措施建议</w:t>
      </w:r>
    </w:p>
    <w:p w14:paraId="5B98A5B3" w14:textId="77777777" w:rsidR="0061785D" w:rsidRDefault="00000000">
      <w:pPr>
        <w:autoSpaceDE w:val="0"/>
        <w:autoSpaceDN w:val="0"/>
        <w:adjustRightInd w:val="0"/>
        <w:spacing w:line="520" w:lineRule="exact"/>
        <w:ind w:firstLineChars="200" w:firstLine="562"/>
        <w:rPr>
          <w:rFonts w:ascii="仿宋" w:eastAsia="仿宋" w:hAnsi="仿宋" w:hint="eastAsia"/>
          <w:b/>
          <w:bCs/>
          <w:kern w:val="0"/>
          <w:sz w:val="28"/>
          <w:szCs w:val="28"/>
        </w:rPr>
      </w:pPr>
      <w:r>
        <w:rPr>
          <w:rFonts w:ascii="仿宋" w:eastAsia="仿宋" w:hAnsi="仿宋" w:hint="eastAsia"/>
          <w:b/>
          <w:bCs/>
          <w:kern w:val="0"/>
          <w:sz w:val="28"/>
          <w:szCs w:val="28"/>
        </w:rPr>
        <w:t>（一）实施标准的要求</w:t>
      </w:r>
    </w:p>
    <w:p w14:paraId="0463F0B8" w14:textId="77777777" w:rsidR="0061785D" w:rsidRDefault="00000000">
      <w:pPr>
        <w:autoSpaceDE w:val="0"/>
        <w:autoSpaceDN w:val="0"/>
        <w:adjustRightInd w:val="0"/>
        <w:spacing w:line="520" w:lineRule="exact"/>
        <w:ind w:firstLineChars="200" w:firstLine="560"/>
        <w:rPr>
          <w:rFonts w:ascii="仿宋" w:eastAsia="仿宋" w:hAnsi="仿宋" w:hint="eastAsia"/>
          <w:kern w:val="0"/>
          <w:sz w:val="28"/>
          <w:szCs w:val="28"/>
        </w:rPr>
      </w:pPr>
      <w:r>
        <w:rPr>
          <w:rFonts w:ascii="仿宋" w:eastAsia="仿宋" w:hAnsi="仿宋" w:hint="eastAsia"/>
          <w:kern w:val="0"/>
          <w:sz w:val="28"/>
          <w:szCs w:val="28"/>
        </w:rPr>
        <w:t>本文件为推荐性地方标准。将对省内各级美术馆在专业设备的运行管理工作中起到规范性和指导性作用。</w:t>
      </w:r>
    </w:p>
    <w:p w14:paraId="5917B10D" w14:textId="77777777" w:rsidR="0061785D" w:rsidRDefault="00000000">
      <w:pPr>
        <w:autoSpaceDE w:val="0"/>
        <w:autoSpaceDN w:val="0"/>
        <w:adjustRightInd w:val="0"/>
        <w:spacing w:line="520" w:lineRule="exact"/>
        <w:ind w:firstLineChars="200" w:firstLine="562"/>
        <w:rPr>
          <w:rFonts w:ascii="仿宋" w:eastAsia="仿宋" w:hAnsi="仿宋" w:hint="eastAsia"/>
          <w:b/>
          <w:bCs/>
          <w:kern w:val="0"/>
          <w:sz w:val="28"/>
          <w:szCs w:val="28"/>
        </w:rPr>
      </w:pPr>
      <w:r>
        <w:rPr>
          <w:rFonts w:ascii="仿宋" w:eastAsia="仿宋" w:hAnsi="仿宋" w:hint="eastAsia"/>
          <w:b/>
          <w:bCs/>
          <w:kern w:val="0"/>
          <w:sz w:val="28"/>
          <w:szCs w:val="28"/>
        </w:rPr>
        <w:t>（二）实施标准的措施</w:t>
      </w:r>
    </w:p>
    <w:p w14:paraId="45BBE531" w14:textId="77777777" w:rsidR="0061785D" w:rsidRDefault="00000000">
      <w:pPr>
        <w:spacing w:line="360" w:lineRule="auto"/>
        <w:ind w:firstLineChars="200" w:firstLine="560"/>
        <w:rPr>
          <w:rFonts w:ascii="仿宋" w:eastAsia="仿宋" w:hAnsi="仿宋" w:hint="eastAsia"/>
          <w:kern w:val="0"/>
          <w:sz w:val="28"/>
          <w:szCs w:val="28"/>
        </w:rPr>
      </w:pPr>
      <w:r>
        <w:rPr>
          <w:rFonts w:ascii="仿宋" w:eastAsia="仿宋" w:hAnsi="仿宋" w:hint="eastAsia"/>
          <w:kern w:val="0"/>
          <w:sz w:val="28"/>
          <w:szCs w:val="28"/>
        </w:rPr>
        <w:t>本文件发布后，应由江苏省</w:t>
      </w:r>
      <w:proofErr w:type="gramStart"/>
      <w:r>
        <w:rPr>
          <w:rFonts w:ascii="仿宋" w:eastAsia="仿宋" w:hAnsi="仿宋" w:hint="eastAsia"/>
          <w:kern w:val="0"/>
          <w:sz w:val="28"/>
          <w:szCs w:val="28"/>
        </w:rPr>
        <w:t>文旅厅</w:t>
      </w:r>
      <w:proofErr w:type="gramEnd"/>
      <w:r>
        <w:rPr>
          <w:rFonts w:ascii="仿宋" w:eastAsia="仿宋" w:hAnsi="仿宋" w:hint="eastAsia"/>
          <w:kern w:val="0"/>
          <w:sz w:val="28"/>
          <w:szCs w:val="28"/>
        </w:rPr>
        <w:t>有关部门及主要起草单位组织宣传贯彻，并举办相关培训，向美术馆、展览馆等相关公共美术单位推荐执行本标准。</w:t>
      </w:r>
    </w:p>
    <w:p w14:paraId="414C16AE" w14:textId="77777777" w:rsidR="0061785D" w:rsidRDefault="00000000">
      <w:pPr>
        <w:autoSpaceDE w:val="0"/>
        <w:autoSpaceDN w:val="0"/>
        <w:adjustRightInd w:val="0"/>
        <w:spacing w:line="520" w:lineRule="exact"/>
        <w:ind w:firstLineChars="200" w:firstLine="562"/>
        <w:rPr>
          <w:rFonts w:ascii="仿宋" w:eastAsia="仿宋" w:hAnsi="仿宋" w:hint="eastAsia"/>
          <w:b/>
          <w:bCs/>
          <w:kern w:val="0"/>
          <w:sz w:val="28"/>
          <w:szCs w:val="28"/>
        </w:rPr>
      </w:pPr>
      <w:r>
        <w:rPr>
          <w:rFonts w:ascii="仿宋" w:eastAsia="仿宋" w:hAnsi="仿宋" w:hint="eastAsia"/>
          <w:b/>
          <w:bCs/>
          <w:kern w:val="0"/>
          <w:sz w:val="28"/>
          <w:szCs w:val="28"/>
        </w:rPr>
        <w:t>（三）标准过渡期和实施日期的建议</w:t>
      </w:r>
    </w:p>
    <w:p w14:paraId="2928CB4B" w14:textId="77777777" w:rsidR="0061785D" w:rsidRDefault="00000000">
      <w:pPr>
        <w:autoSpaceDE w:val="0"/>
        <w:autoSpaceDN w:val="0"/>
        <w:adjustRightInd w:val="0"/>
        <w:spacing w:line="520" w:lineRule="exact"/>
        <w:ind w:firstLineChars="200" w:firstLine="560"/>
        <w:rPr>
          <w:rFonts w:ascii="仿宋" w:eastAsia="仿宋" w:hAnsi="仿宋" w:hint="eastAsia"/>
          <w:kern w:val="0"/>
          <w:sz w:val="28"/>
          <w:szCs w:val="28"/>
        </w:rPr>
      </w:pPr>
      <w:r>
        <w:rPr>
          <w:rFonts w:ascii="仿宋" w:eastAsia="仿宋" w:hAnsi="仿宋" w:hint="eastAsia"/>
          <w:kern w:val="0"/>
          <w:sz w:val="28"/>
          <w:szCs w:val="28"/>
        </w:rPr>
        <w:t>建议本标准发布后，颁布之日起开始实施。</w:t>
      </w:r>
    </w:p>
    <w:p w14:paraId="531E20B6" w14:textId="77777777" w:rsidR="0061785D" w:rsidRDefault="00000000">
      <w:pPr>
        <w:numPr>
          <w:ilvl w:val="0"/>
          <w:numId w:val="3"/>
        </w:numPr>
        <w:spacing w:line="520" w:lineRule="exact"/>
        <w:rPr>
          <w:rFonts w:ascii="仿宋" w:eastAsia="仿宋" w:hAnsi="仿宋" w:hint="eastAsia"/>
          <w:b/>
          <w:bCs/>
          <w:sz w:val="28"/>
          <w:szCs w:val="28"/>
        </w:rPr>
      </w:pPr>
      <w:r>
        <w:rPr>
          <w:rFonts w:ascii="仿宋" w:eastAsia="仿宋" w:hAnsi="仿宋" w:hint="eastAsia"/>
          <w:b/>
          <w:bCs/>
          <w:sz w:val="28"/>
          <w:szCs w:val="28"/>
        </w:rPr>
        <w:t>起草单位和起草人员信息及分工</w:t>
      </w:r>
    </w:p>
    <w:p w14:paraId="2D1B0419" w14:textId="77777777" w:rsidR="0061785D" w:rsidRDefault="00000000">
      <w:pPr>
        <w:spacing w:line="520" w:lineRule="exact"/>
        <w:rPr>
          <w:rFonts w:ascii="仿宋" w:eastAsia="仿宋" w:hAnsi="仿宋" w:hint="eastAsia"/>
          <w:sz w:val="28"/>
          <w:szCs w:val="28"/>
        </w:rPr>
      </w:pPr>
      <w:r>
        <w:rPr>
          <w:rFonts w:ascii="仿宋" w:eastAsia="仿宋" w:hAnsi="仿宋" w:hint="eastAsia"/>
          <w:b/>
          <w:bCs/>
          <w:sz w:val="28"/>
          <w:szCs w:val="28"/>
        </w:rPr>
        <w:t xml:space="preserve">   </w:t>
      </w:r>
      <w:r>
        <w:rPr>
          <w:rFonts w:ascii="仿宋" w:eastAsia="仿宋" w:hAnsi="仿宋" w:hint="eastAsia"/>
          <w:sz w:val="28"/>
          <w:szCs w:val="28"/>
        </w:rPr>
        <w:t>承担单位（主编单位）：江苏省美术馆</w:t>
      </w:r>
    </w:p>
    <w:p w14:paraId="22B5A665" w14:textId="77777777" w:rsidR="0061785D" w:rsidRDefault="00000000">
      <w:pPr>
        <w:spacing w:line="520" w:lineRule="exact"/>
        <w:rPr>
          <w:rFonts w:ascii="仿宋" w:eastAsia="仿宋" w:hAnsi="仿宋" w:hint="eastAsia"/>
          <w:sz w:val="28"/>
          <w:szCs w:val="28"/>
        </w:rPr>
      </w:pPr>
      <w:r>
        <w:rPr>
          <w:rFonts w:ascii="仿宋" w:eastAsia="仿宋" w:hAnsi="仿宋" w:hint="eastAsia"/>
          <w:sz w:val="28"/>
          <w:szCs w:val="28"/>
        </w:rPr>
        <w:t xml:space="preserve">   协助单位（参编单位）：南京师范大学、中国中建设计研究院有限公司、南京维塔文化遗产保护技术有限公司</w:t>
      </w:r>
    </w:p>
    <w:p w14:paraId="2FB65804" w14:textId="77777777" w:rsidR="0061785D" w:rsidRDefault="00000000">
      <w:pPr>
        <w:spacing w:line="520" w:lineRule="exact"/>
        <w:rPr>
          <w:rFonts w:ascii="仿宋" w:eastAsia="仿宋" w:hAnsi="仿宋" w:hint="eastAsia"/>
          <w:sz w:val="28"/>
          <w:szCs w:val="28"/>
        </w:rPr>
      </w:pPr>
      <w:r>
        <w:rPr>
          <w:rFonts w:ascii="仿宋" w:eastAsia="仿宋" w:hAnsi="仿宋" w:hint="eastAsia"/>
          <w:sz w:val="28"/>
          <w:szCs w:val="28"/>
        </w:rPr>
        <w:t>起草人员及其分工信息如下：</w:t>
      </w:r>
    </w:p>
    <w:tbl>
      <w:tblPr>
        <w:tblStyle w:val="af2"/>
        <w:tblW w:w="0" w:type="auto"/>
        <w:tblLook w:val="04A0" w:firstRow="1" w:lastRow="0" w:firstColumn="1" w:lastColumn="0" w:noHBand="0" w:noVBand="1"/>
      </w:tblPr>
      <w:tblGrid>
        <w:gridCol w:w="764"/>
        <w:gridCol w:w="1526"/>
        <w:gridCol w:w="2629"/>
        <w:gridCol w:w="4143"/>
      </w:tblGrid>
      <w:tr w:rsidR="0061785D" w14:paraId="2F992AA3" w14:textId="77777777">
        <w:tc>
          <w:tcPr>
            <w:tcW w:w="773" w:type="dxa"/>
          </w:tcPr>
          <w:p w14:paraId="4CB7D256" w14:textId="77777777" w:rsidR="0061785D" w:rsidRDefault="00000000">
            <w:pPr>
              <w:spacing w:line="520" w:lineRule="exact"/>
              <w:jc w:val="center"/>
              <w:rPr>
                <w:rFonts w:ascii="仿宋" w:eastAsia="仿宋" w:hAnsi="仿宋" w:hint="eastAsia"/>
                <w:sz w:val="24"/>
              </w:rPr>
            </w:pPr>
            <w:r>
              <w:rPr>
                <w:rFonts w:ascii="仿宋" w:eastAsia="仿宋" w:hAnsi="仿宋" w:hint="eastAsia"/>
                <w:sz w:val="24"/>
              </w:rPr>
              <w:t>序号</w:t>
            </w:r>
          </w:p>
        </w:tc>
        <w:tc>
          <w:tcPr>
            <w:tcW w:w="1560" w:type="dxa"/>
          </w:tcPr>
          <w:p w14:paraId="0F4585E3" w14:textId="77777777" w:rsidR="0061785D" w:rsidRDefault="00000000">
            <w:pPr>
              <w:spacing w:line="520" w:lineRule="exact"/>
              <w:jc w:val="center"/>
              <w:rPr>
                <w:rFonts w:ascii="仿宋" w:eastAsia="仿宋" w:hAnsi="仿宋" w:hint="eastAsia"/>
                <w:sz w:val="24"/>
              </w:rPr>
            </w:pPr>
            <w:r>
              <w:rPr>
                <w:rFonts w:ascii="仿宋" w:eastAsia="仿宋" w:hAnsi="仿宋" w:hint="eastAsia"/>
                <w:sz w:val="24"/>
              </w:rPr>
              <w:t>姓名</w:t>
            </w:r>
          </w:p>
        </w:tc>
        <w:tc>
          <w:tcPr>
            <w:tcW w:w="2700" w:type="dxa"/>
          </w:tcPr>
          <w:p w14:paraId="62B6DFD2" w14:textId="77777777" w:rsidR="0061785D" w:rsidRDefault="00000000">
            <w:pPr>
              <w:spacing w:line="520" w:lineRule="exact"/>
              <w:jc w:val="center"/>
              <w:rPr>
                <w:rFonts w:ascii="仿宋" w:eastAsia="仿宋" w:hAnsi="仿宋" w:hint="eastAsia"/>
                <w:sz w:val="24"/>
              </w:rPr>
            </w:pPr>
            <w:r>
              <w:rPr>
                <w:rFonts w:ascii="仿宋" w:eastAsia="仿宋" w:hAnsi="仿宋" w:hint="eastAsia"/>
                <w:sz w:val="24"/>
              </w:rPr>
              <w:t>工作单位</w:t>
            </w:r>
          </w:p>
        </w:tc>
        <w:tc>
          <w:tcPr>
            <w:tcW w:w="4255" w:type="dxa"/>
          </w:tcPr>
          <w:p w14:paraId="517B7D9D" w14:textId="77777777" w:rsidR="0061785D" w:rsidRDefault="00000000">
            <w:pPr>
              <w:spacing w:line="520" w:lineRule="exact"/>
              <w:jc w:val="center"/>
              <w:rPr>
                <w:rFonts w:ascii="仿宋" w:eastAsia="仿宋" w:hAnsi="仿宋" w:hint="eastAsia"/>
                <w:sz w:val="24"/>
              </w:rPr>
            </w:pPr>
            <w:r>
              <w:rPr>
                <w:rFonts w:ascii="仿宋" w:eastAsia="仿宋" w:hAnsi="仿宋" w:hint="eastAsia"/>
                <w:sz w:val="24"/>
              </w:rPr>
              <w:t>所做主要工作</w:t>
            </w:r>
          </w:p>
        </w:tc>
      </w:tr>
      <w:tr w:rsidR="0061785D" w14:paraId="141CA749" w14:textId="77777777">
        <w:tc>
          <w:tcPr>
            <w:tcW w:w="773" w:type="dxa"/>
            <w:vAlign w:val="center"/>
          </w:tcPr>
          <w:p w14:paraId="1F521E0F"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1</w:t>
            </w:r>
          </w:p>
        </w:tc>
        <w:tc>
          <w:tcPr>
            <w:tcW w:w="1560" w:type="dxa"/>
            <w:vAlign w:val="center"/>
          </w:tcPr>
          <w:p w14:paraId="7EFDB166"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周  盛</w:t>
            </w:r>
          </w:p>
        </w:tc>
        <w:tc>
          <w:tcPr>
            <w:tcW w:w="2700" w:type="dxa"/>
            <w:vAlign w:val="center"/>
          </w:tcPr>
          <w:p w14:paraId="6CEADA83"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江苏省美术馆</w:t>
            </w:r>
          </w:p>
        </w:tc>
        <w:tc>
          <w:tcPr>
            <w:tcW w:w="4255" w:type="dxa"/>
            <w:vAlign w:val="center"/>
          </w:tcPr>
          <w:p w14:paraId="1DB2D9EE"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统筹协调，整体把控</w:t>
            </w:r>
          </w:p>
        </w:tc>
      </w:tr>
      <w:tr w:rsidR="0061785D" w14:paraId="7F8E4B95" w14:textId="77777777">
        <w:tc>
          <w:tcPr>
            <w:tcW w:w="773" w:type="dxa"/>
            <w:vAlign w:val="center"/>
          </w:tcPr>
          <w:p w14:paraId="7786E33C"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2</w:t>
            </w:r>
          </w:p>
        </w:tc>
        <w:tc>
          <w:tcPr>
            <w:tcW w:w="1560" w:type="dxa"/>
            <w:vAlign w:val="center"/>
          </w:tcPr>
          <w:p w14:paraId="4B87BC6E"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吴  杰</w:t>
            </w:r>
          </w:p>
        </w:tc>
        <w:tc>
          <w:tcPr>
            <w:tcW w:w="2700" w:type="dxa"/>
            <w:vAlign w:val="center"/>
          </w:tcPr>
          <w:p w14:paraId="66FC7310"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江苏省美术馆</w:t>
            </w:r>
          </w:p>
        </w:tc>
        <w:tc>
          <w:tcPr>
            <w:tcW w:w="4255" w:type="dxa"/>
            <w:vAlign w:val="center"/>
          </w:tcPr>
          <w:p w14:paraId="5817FB9E"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理论研究，内容编写</w:t>
            </w:r>
          </w:p>
        </w:tc>
      </w:tr>
      <w:tr w:rsidR="0061785D" w14:paraId="11629EA6" w14:textId="77777777">
        <w:tc>
          <w:tcPr>
            <w:tcW w:w="773" w:type="dxa"/>
            <w:vAlign w:val="center"/>
          </w:tcPr>
          <w:p w14:paraId="26F2BD3C"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3</w:t>
            </w:r>
          </w:p>
        </w:tc>
        <w:tc>
          <w:tcPr>
            <w:tcW w:w="1560" w:type="dxa"/>
            <w:vAlign w:val="center"/>
          </w:tcPr>
          <w:p w14:paraId="164F8868"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杨  杰</w:t>
            </w:r>
          </w:p>
        </w:tc>
        <w:tc>
          <w:tcPr>
            <w:tcW w:w="2700" w:type="dxa"/>
            <w:vAlign w:val="center"/>
          </w:tcPr>
          <w:p w14:paraId="14512915"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中国中建设计研究院有限公司</w:t>
            </w:r>
          </w:p>
        </w:tc>
        <w:tc>
          <w:tcPr>
            <w:tcW w:w="4255" w:type="dxa"/>
            <w:vAlign w:val="center"/>
          </w:tcPr>
          <w:p w14:paraId="7F774D1D"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理论研究，内容编写</w:t>
            </w:r>
          </w:p>
        </w:tc>
      </w:tr>
      <w:tr w:rsidR="0061785D" w14:paraId="7C8F07D8" w14:textId="77777777">
        <w:tc>
          <w:tcPr>
            <w:tcW w:w="773" w:type="dxa"/>
            <w:vAlign w:val="center"/>
          </w:tcPr>
          <w:p w14:paraId="3FD4E116"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4</w:t>
            </w:r>
          </w:p>
        </w:tc>
        <w:tc>
          <w:tcPr>
            <w:tcW w:w="1560" w:type="dxa"/>
            <w:vAlign w:val="center"/>
          </w:tcPr>
          <w:p w14:paraId="27331188"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葛军莲</w:t>
            </w:r>
          </w:p>
        </w:tc>
        <w:tc>
          <w:tcPr>
            <w:tcW w:w="2700" w:type="dxa"/>
            <w:vAlign w:val="center"/>
          </w:tcPr>
          <w:p w14:paraId="24652D5B"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南京师范大学</w:t>
            </w:r>
          </w:p>
        </w:tc>
        <w:tc>
          <w:tcPr>
            <w:tcW w:w="4255" w:type="dxa"/>
            <w:vAlign w:val="center"/>
          </w:tcPr>
          <w:p w14:paraId="6873EBCE"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理论研究，内容编写</w:t>
            </w:r>
          </w:p>
        </w:tc>
      </w:tr>
      <w:tr w:rsidR="0061785D" w14:paraId="16958904" w14:textId="77777777">
        <w:tc>
          <w:tcPr>
            <w:tcW w:w="773" w:type="dxa"/>
            <w:vAlign w:val="center"/>
          </w:tcPr>
          <w:p w14:paraId="4B579BEB"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5</w:t>
            </w:r>
          </w:p>
        </w:tc>
        <w:tc>
          <w:tcPr>
            <w:tcW w:w="1560" w:type="dxa"/>
            <w:vAlign w:val="center"/>
          </w:tcPr>
          <w:p w14:paraId="536E3D81" w14:textId="77777777" w:rsidR="0061785D" w:rsidRDefault="00000000">
            <w:pPr>
              <w:spacing w:line="520" w:lineRule="exact"/>
              <w:jc w:val="center"/>
              <w:rPr>
                <w:rFonts w:ascii="仿宋" w:eastAsia="仿宋" w:hAnsi="仿宋" w:hint="eastAsia"/>
                <w:sz w:val="28"/>
                <w:szCs w:val="28"/>
              </w:rPr>
            </w:pPr>
            <w:proofErr w:type="gramStart"/>
            <w:r>
              <w:rPr>
                <w:rFonts w:ascii="仿宋" w:eastAsia="仿宋" w:hAnsi="仿宋" w:hint="eastAsia"/>
                <w:sz w:val="28"/>
                <w:szCs w:val="28"/>
              </w:rPr>
              <w:t>廖</w:t>
            </w:r>
            <w:proofErr w:type="gramEnd"/>
            <w:r>
              <w:rPr>
                <w:rFonts w:ascii="仿宋" w:eastAsia="仿宋" w:hAnsi="仿宋" w:hint="eastAsia"/>
                <w:sz w:val="28"/>
                <w:szCs w:val="28"/>
              </w:rPr>
              <w:t xml:space="preserve">  鹏</w:t>
            </w:r>
          </w:p>
        </w:tc>
        <w:tc>
          <w:tcPr>
            <w:tcW w:w="2700" w:type="dxa"/>
            <w:vAlign w:val="center"/>
          </w:tcPr>
          <w:p w14:paraId="3C77836C"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江苏省美术馆</w:t>
            </w:r>
          </w:p>
        </w:tc>
        <w:tc>
          <w:tcPr>
            <w:tcW w:w="4255" w:type="dxa"/>
            <w:vAlign w:val="center"/>
          </w:tcPr>
          <w:p w14:paraId="2039BBAA"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理论研究，内容编写</w:t>
            </w:r>
          </w:p>
        </w:tc>
      </w:tr>
      <w:tr w:rsidR="0061785D" w14:paraId="4EACADFE" w14:textId="77777777">
        <w:tc>
          <w:tcPr>
            <w:tcW w:w="773" w:type="dxa"/>
            <w:vAlign w:val="center"/>
          </w:tcPr>
          <w:p w14:paraId="64E1E350"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lastRenderedPageBreak/>
              <w:t>6</w:t>
            </w:r>
          </w:p>
        </w:tc>
        <w:tc>
          <w:tcPr>
            <w:tcW w:w="1560" w:type="dxa"/>
            <w:vAlign w:val="center"/>
          </w:tcPr>
          <w:p w14:paraId="32D4AA10"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刘彤彬</w:t>
            </w:r>
          </w:p>
        </w:tc>
        <w:tc>
          <w:tcPr>
            <w:tcW w:w="2700" w:type="dxa"/>
            <w:vAlign w:val="center"/>
          </w:tcPr>
          <w:p w14:paraId="4227517D"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江苏省美术馆</w:t>
            </w:r>
          </w:p>
        </w:tc>
        <w:tc>
          <w:tcPr>
            <w:tcW w:w="4255" w:type="dxa"/>
            <w:vAlign w:val="center"/>
          </w:tcPr>
          <w:p w14:paraId="299B344A"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理论研究，内容编写</w:t>
            </w:r>
          </w:p>
        </w:tc>
      </w:tr>
      <w:tr w:rsidR="0061785D" w14:paraId="42B500E3" w14:textId="77777777">
        <w:tc>
          <w:tcPr>
            <w:tcW w:w="773" w:type="dxa"/>
            <w:vAlign w:val="center"/>
          </w:tcPr>
          <w:p w14:paraId="3633D280"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7</w:t>
            </w:r>
          </w:p>
        </w:tc>
        <w:tc>
          <w:tcPr>
            <w:tcW w:w="1560" w:type="dxa"/>
            <w:vAlign w:val="center"/>
          </w:tcPr>
          <w:p w14:paraId="6BD678C7"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 xml:space="preserve">陈  </w:t>
            </w:r>
            <w:proofErr w:type="gramStart"/>
            <w:r>
              <w:rPr>
                <w:rFonts w:ascii="仿宋" w:eastAsia="仿宋" w:hAnsi="仿宋" w:hint="eastAsia"/>
                <w:sz w:val="28"/>
                <w:szCs w:val="28"/>
              </w:rPr>
              <w:t>岚</w:t>
            </w:r>
            <w:proofErr w:type="gramEnd"/>
          </w:p>
        </w:tc>
        <w:tc>
          <w:tcPr>
            <w:tcW w:w="2700" w:type="dxa"/>
            <w:vAlign w:val="center"/>
          </w:tcPr>
          <w:p w14:paraId="7D4D50B9"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江苏省美术馆</w:t>
            </w:r>
          </w:p>
        </w:tc>
        <w:tc>
          <w:tcPr>
            <w:tcW w:w="4255" w:type="dxa"/>
            <w:vAlign w:val="center"/>
          </w:tcPr>
          <w:p w14:paraId="489DC800"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理论研究，内容编写</w:t>
            </w:r>
          </w:p>
        </w:tc>
      </w:tr>
      <w:tr w:rsidR="0061785D" w14:paraId="589C90EA" w14:textId="77777777">
        <w:tc>
          <w:tcPr>
            <w:tcW w:w="773" w:type="dxa"/>
            <w:vAlign w:val="center"/>
          </w:tcPr>
          <w:p w14:paraId="1B9700CC"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8</w:t>
            </w:r>
          </w:p>
        </w:tc>
        <w:tc>
          <w:tcPr>
            <w:tcW w:w="1560" w:type="dxa"/>
            <w:vAlign w:val="center"/>
          </w:tcPr>
          <w:p w14:paraId="541B0A2F"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吴  扬</w:t>
            </w:r>
          </w:p>
        </w:tc>
        <w:tc>
          <w:tcPr>
            <w:tcW w:w="2700" w:type="dxa"/>
            <w:vAlign w:val="center"/>
          </w:tcPr>
          <w:p w14:paraId="63322AFC"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江苏省美术馆</w:t>
            </w:r>
          </w:p>
        </w:tc>
        <w:tc>
          <w:tcPr>
            <w:tcW w:w="4255" w:type="dxa"/>
            <w:vAlign w:val="center"/>
          </w:tcPr>
          <w:p w14:paraId="2CA7FC31"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优化讨论，内容修改</w:t>
            </w:r>
          </w:p>
        </w:tc>
      </w:tr>
      <w:tr w:rsidR="0061785D" w14:paraId="5BCCC724" w14:textId="77777777">
        <w:tc>
          <w:tcPr>
            <w:tcW w:w="773" w:type="dxa"/>
            <w:vAlign w:val="center"/>
          </w:tcPr>
          <w:p w14:paraId="7579C75B"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9</w:t>
            </w:r>
          </w:p>
        </w:tc>
        <w:tc>
          <w:tcPr>
            <w:tcW w:w="1560" w:type="dxa"/>
            <w:vAlign w:val="center"/>
          </w:tcPr>
          <w:p w14:paraId="106DE6AD"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盖剑鸣</w:t>
            </w:r>
          </w:p>
        </w:tc>
        <w:tc>
          <w:tcPr>
            <w:tcW w:w="2700" w:type="dxa"/>
            <w:vAlign w:val="center"/>
          </w:tcPr>
          <w:p w14:paraId="04EC6DAE"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江苏省美术馆</w:t>
            </w:r>
          </w:p>
        </w:tc>
        <w:tc>
          <w:tcPr>
            <w:tcW w:w="4255" w:type="dxa"/>
            <w:vAlign w:val="center"/>
          </w:tcPr>
          <w:p w14:paraId="51CAE1D9"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资料分析，内容编写</w:t>
            </w:r>
          </w:p>
        </w:tc>
      </w:tr>
      <w:tr w:rsidR="0061785D" w14:paraId="6D7CCD59" w14:textId="77777777">
        <w:tc>
          <w:tcPr>
            <w:tcW w:w="773" w:type="dxa"/>
            <w:vAlign w:val="center"/>
          </w:tcPr>
          <w:p w14:paraId="3DFA5892"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10</w:t>
            </w:r>
          </w:p>
        </w:tc>
        <w:tc>
          <w:tcPr>
            <w:tcW w:w="1560" w:type="dxa"/>
            <w:vAlign w:val="center"/>
          </w:tcPr>
          <w:p w14:paraId="3C65C908"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陈  铭</w:t>
            </w:r>
          </w:p>
        </w:tc>
        <w:tc>
          <w:tcPr>
            <w:tcW w:w="2700" w:type="dxa"/>
            <w:vAlign w:val="center"/>
          </w:tcPr>
          <w:p w14:paraId="32C860C1"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南京维塔文化遗产保护技术有限公司</w:t>
            </w:r>
          </w:p>
        </w:tc>
        <w:tc>
          <w:tcPr>
            <w:tcW w:w="4255" w:type="dxa"/>
            <w:vAlign w:val="center"/>
          </w:tcPr>
          <w:p w14:paraId="2EA4DB20" w14:textId="77777777" w:rsidR="0061785D" w:rsidRDefault="00000000">
            <w:pPr>
              <w:spacing w:line="520" w:lineRule="exact"/>
              <w:jc w:val="center"/>
              <w:rPr>
                <w:rFonts w:ascii="仿宋" w:eastAsia="仿宋" w:hAnsi="仿宋" w:hint="eastAsia"/>
                <w:sz w:val="28"/>
                <w:szCs w:val="28"/>
              </w:rPr>
            </w:pPr>
            <w:r>
              <w:rPr>
                <w:rFonts w:ascii="仿宋" w:eastAsia="仿宋" w:hAnsi="仿宋" w:hint="eastAsia"/>
                <w:sz w:val="28"/>
                <w:szCs w:val="28"/>
              </w:rPr>
              <w:t>实践指导，协助修改</w:t>
            </w:r>
          </w:p>
        </w:tc>
      </w:tr>
    </w:tbl>
    <w:p w14:paraId="55CA8E8D" w14:textId="77777777" w:rsidR="0061785D" w:rsidRDefault="0061785D">
      <w:pPr>
        <w:autoSpaceDE w:val="0"/>
        <w:autoSpaceDN w:val="0"/>
        <w:adjustRightInd w:val="0"/>
        <w:spacing w:line="520" w:lineRule="exact"/>
        <w:rPr>
          <w:rFonts w:ascii="仿宋" w:eastAsia="仿宋" w:hAnsi="仿宋" w:hint="eastAsia"/>
          <w:kern w:val="0"/>
          <w:sz w:val="28"/>
          <w:szCs w:val="28"/>
        </w:rPr>
      </w:pPr>
    </w:p>
    <w:p w14:paraId="6AFC17B5" w14:textId="77777777" w:rsidR="0061785D" w:rsidRDefault="00000000">
      <w:pPr>
        <w:spacing w:line="520" w:lineRule="exact"/>
        <w:rPr>
          <w:rFonts w:ascii="仿宋" w:eastAsia="仿宋" w:hAnsi="仿宋" w:hint="eastAsia"/>
          <w:b/>
          <w:bCs/>
          <w:sz w:val="28"/>
          <w:szCs w:val="28"/>
        </w:rPr>
      </w:pPr>
      <w:r>
        <w:rPr>
          <w:rFonts w:ascii="仿宋" w:eastAsia="仿宋" w:hAnsi="仿宋" w:hint="eastAsia"/>
          <w:b/>
          <w:bCs/>
          <w:sz w:val="28"/>
          <w:szCs w:val="28"/>
        </w:rPr>
        <w:t>十</w:t>
      </w:r>
      <w:r>
        <w:rPr>
          <w:rFonts w:ascii="仿宋" w:eastAsia="仿宋" w:hAnsi="仿宋"/>
          <w:b/>
          <w:bCs/>
          <w:sz w:val="28"/>
          <w:szCs w:val="28"/>
        </w:rPr>
        <w:t>、其他应当说明的事项</w:t>
      </w:r>
    </w:p>
    <w:p w14:paraId="43CE22CA" w14:textId="77777777" w:rsidR="0061785D" w:rsidRDefault="00000000">
      <w:pPr>
        <w:autoSpaceDE w:val="0"/>
        <w:autoSpaceDN w:val="0"/>
        <w:adjustRightInd w:val="0"/>
        <w:spacing w:line="520" w:lineRule="exact"/>
        <w:ind w:firstLineChars="200" w:firstLine="560"/>
        <w:rPr>
          <w:rFonts w:ascii="仿宋" w:eastAsia="仿宋" w:hAnsi="仿宋" w:hint="eastAsia"/>
          <w:kern w:val="0"/>
          <w:sz w:val="28"/>
          <w:szCs w:val="28"/>
        </w:rPr>
      </w:pPr>
      <w:r>
        <w:rPr>
          <w:rFonts w:ascii="仿宋" w:eastAsia="仿宋" w:hAnsi="仿宋" w:hint="eastAsia"/>
          <w:kern w:val="0"/>
          <w:sz w:val="28"/>
          <w:szCs w:val="28"/>
        </w:rPr>
        <w:t>无。</w:t>
      </w:r>
    </w:p>
    <w:p w14:paraId="6DE0C253" w14:textId="77777777" w:rsidR="0061785D" w:rsidRDefault="0061785D">
      <w:pPr>
        <w:autoSpaceDE w:val="0"/>
        <w:autoSpaceDN w:val="0"/>
        <w:adjustRightInd w:val="0"/>
        <w:spacing w:line="520" w:lineRule="exact"/>
        <w:ind w:firstLineChars="200" w:firstLine="560"/>
        <w:rPr>
          <w:rFonts w:ascii="仿宋" w:eastAsia="仿宋" w:hAnsi="仿宋" w:hint="eastAsia"/>
          <w:kern w:val="0"/>
          <w:sz w:val="28"/>
          <w:szCs w:val="28"/>
        </w:rPr>
      </w:pPr>
    </w:p>
    <w:p w14:paraId="1BCC0E9D" w14:textId="77777777" w:rsidR="0061785D" w:rsidRDefault="0061785D">
      <w:pPr>
        <w:spacing w:line="360" w:lineRule="auto"/>
        <w:rPr>
          <w:rFonts w:ascii="仿宋" w:eastAsia="仿宋" w:hAnsi="仿宋" w:cs="方正仿宋_GBK" w:hint="eastAsia"/>
          <w:sz w:val="28"/>
          <w:szCs w:val="28"/>
        </w:rPr>
      </w:pPr>
    </w:p>
    <w:sectPr w:rsidR="0061785D">
      <w:headerReference w:type="default" r:id="rId7"/>
      <w:footerReference w:type="even" r:id="rId8"/>
      <w:footerReference w:type="default" r:id="rId9"/>
      <w:pgSz w:w="11906" w:h="16838"/>
      <w:pgMar w:top="2098" w:right="1416" w:bottom="1814" w:left="1418" w:header="851" w:footer="1418"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3E77A" w14:textId="77777777" w:rsidR="00ED2A0D" w:rsidRDefault="00ED2A0D">
      <w:r>
        <w:separator/>
      </w:r>
    </w:p>
  </w:endnote>
  <w:endnote w:type="continuationSeparator" w:id="0">
    <w:p w14:paraId="255E67E6" w14:textId="77777777" w:rsidR="00ED2A0D" w:rsidRDefault="00ED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创艺简仿宋">
    <w:altName w:val="仿宋"/>
    <w:charset w:val="86"/>
    <w:family w:val="auto"/>
    <w:pitch w:val="default"/>
    <w:sig w:usb0="00000001" w:usb1="080E0000" w:usb2="00000010" w:usb3="00000000" w:csb0="00040000" w:csb1="00000000"/>
  </w:font>
  <w:font w:name="楷体_gb2312">
    <w:altName w:val="楷体"/>
    <w:charset w:val="86"/>
    <w:family w:val="roman"/>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汉鼎简大宋">
    <w:altName w:val="宋体"/>
    <w:charset w:val="86"/>
    <w:family w:val="modern"/>
    <w:pitch w:val="default"/>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仿宋_GBK">
    <w:altName w:val="微软雅黑"/>
    <w:charset w:val="86"/>
    <w:family w:val="script"/>
    <w:pitch w:val="default"/>
    <w:sig w:usb0="00000001" w:usb1="080E0000" w:usb2="00000010" w:usb3="00000000" w:csb0="00040000" w:csb1="00000000"/>
  </w:font>
  <w:font w:name="方正小标宋_GBK">
    <w:altName w:val="微软雅黑"/>
    <w:charset w:val="86"/>
    <w:family w:val="script"/>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71806" w14:textId="77777777" w:rsidR="0061785D" w:rsidRDefault="00000000">
    <w:pPr>
      <w:pStyle w:val="af"/>
      <w:ind w:right="360" w:firstLineChars="100" w:firstLine="280"/>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8E9E1" w14:textId="77777777" w:rsidR="0061785D" w:rsidRDefault="00000000">
    <w:pPr>
      <w:pStyle w:val="af"/>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BFB1D" w14:textId="77777777" w:rsidR="00ED2A0D" w:rsidRDefault="00ED2A0D">
      <w:r>
        <w:separator/>
      </w:r>
    </w:p>
  </w:footnote>
  <w:footnote w:type="continuationSeparator" w:id="0">
    <w:p w14:paraId="1F3806EE" w14:textId="77777777" w:rsidR="00ED2A0D" w:rsidRDefault="00ED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A1201" w14:textId="77777777" w:rsidR="0061785D" w:rsidRDefault="0061785D">
    <w:pPr>
      <w:pStyle w:val="af1"/>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E61E657"/>
    <w:multiLevelType w:val="singleLevel"/>
    <w:tmpl w:val="BE61E657"/>
    <w:lvl w:ilvl="0">
      <w:start w:val="9"/>
      <w:numFmt w:val="chineseCounting"/>
      <w:suff w:val="nothing"/>
      <w:lvlText w:val="%1、"/>
      <w:lvlJc w:val="left"/>
      <w:rPr>
        <w:rFonts w:hint="eastAsia"/>
      </w:rPr>
    </w:lvl>
  </w:abstractNum>
  <w:abstractNum w:abstractNumId="1" w15:restartNumberingAfterBreak="0">
    <w:nsid w:val="2C5917C3"/>
    <w:multiLevelType w:val="multilevel"/>
    <w:tmpl w:val="2C5917C3"/>
    <w:lvl w:ilvl="0">
      <w:start w:val="1"/>
      <w:numFmt w:val="none"/>
      <w:pStyle w:val="a"/>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0"/>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6CEA2025"/>
    <w:multiLevelType w:val="multilevel"/>
    <w:tmpl w:val="6CEA2025"/>
    <w:lvl w:ilvl="0">
      <w:start w:val="1"/>
      <w:numFmt w:val="none"/>
      <w:pStyle w:val="a1"/>
      <w:suff w:val="nothing"/>
      <w:lvlText w:val="%1"/>
      <w:lvlJc w:val="left"/>
      <w:pPr>
        <w:ind w:left="0" w:firstLine="0"/>
      </w:pPr>
      <w:rPr>
        <w:rFonts w:hint="eastAsia"/>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pStyle w:val="a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4"/>
      <w:suff w:val="nothing"/>
      <w:lvlText w:val="%1%2.%3.%4　"/>
      <w:lvlJc w:val="left"/>
      <w:pPr>
        <w:ind w:left="0" w:firstLine="0"/>
      </w:pPr>
      <w:rPr>
        <w:rFonts w:ascii="黑体" w:eastAsia="黑体" w:hint="eastAsia"/>
        <w:b w:val="0"/>
        <w:i w:val="0"/>
        <w:sz w:val="21"/>
      </w:rPr>
    </w:lvl>
    <w:lvl w:ilvl="4">
      <w:start w:val="1"/>
      <w:numFmt w:val="decimal"/>
      <w:pStyle w:val="a5"/>
      <w:suff w:val="nothing"/>
      <w:lvlText w:val="%1%2.%3.%4.%5　"/>
      <w:lvlJc w:val="left"/>
      <w:pPr>
        <w:ind w:left="0" w:firstLine="0"/>
      </w:pPr>
      <w:rPr>
        <w:rFonts w:ascii="黑体" w:eastAsia="黑体" w:hint="eastAsia"/>
        <w:b w:val="0"/>
        <w:i w:val="0"/>
        <w:sz w:val="21"/>
      </w:rPr>
    </w:lvl>
    <w:lvl w:ilvl="5">
      <w:start w:val="1"/>
      <w:numFmt w:val="decimal"/>
      <w:pStyle w:val="a6"/>
      <w:suff w:val="nothing"/>
      <w:lvlText w:val="%1%2.%3.%4.%5.%6　"/>
      <w:lvlJc w:val="left"/>
      <w:pPr>
        <w:ind w:left="0" w:firstLine="0"/>
      </w:pPr>
      <w:rPr>
        <w:rFonts w:ascii="黑体" w:eastAsia="黑体" w:hint="eastAsia"/>
        <w:b w:val="0"/>
        <w:i w:val="0"/>
        <w:sz w:val="21"/>
      </w:rPr>
    </w:lvl>
    <w:lvl w:ilvl="6">
      <w:start w:val="1"/>
      <w:numFmt w:val="decimal"/>
      <w:pStyle w:val="a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061827101">
    <w:abstractNumId w:val="2"/>
  </w:num>
  <w:num w:numId="2" w16cid:durableId="773331991">
    <w:abstractNumId w:val="1"/>
  </w:num>
  <w:num w:numId="3" w16cid:durableId="579025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JiMTM2ZWZjYzI0MDhmMmY2ZDY0ZGQwNWVjOTVjNWIifQ=="/>
  </w:docVars>
  <w:rsids>
    <w:rsidRoot w:val="00891F1C"/>
    <w:rsid w:val="00001260"/>
    <w:rsid w:val="000069BD"/>
    <w:rsid w:val="00012090"/>
    <w:rsid w:val="00013547"/>
    <w:rsid w:val="00021AB3"/>
    <w:rsid w:val="00021D89"/>
    <w:rsid w:val="00023F73"/>
    <w:rsid w:val="000306DD"/>
    <w:rsid w:val="00032F2A"/>
    <w:rsid w:val="00047B6E"/>
    <w:rsid w:val="000525F8"/>
    <w:rsid w:val="00066FC5"/>
    <w:rsid w:val="00077282"/>
    <w:rsid w:val="00077FB8"/>
    <w:rsid w:val="00085B3B"/>
    <w:rsid w:val="00097F9E"/>
    <w:rsid w:val="000A50EF"/>
    <w:rsid w:val="000B20B2"/>
    <w:rsid w:val="000C10EF"/>
    <w:rsid w:val="000C2EBD"/>
    <w:rsid w:val="000C5049"/>
    <w:rsid w:val="000C6C3A"/>
    <w:rsid w:val="000D2F2D"/>
    <w:rsid w:val="000E2334"/>
    <w:rsid w:val="000E3DD9"/>
    <w:rsid w:val="000E5987"/>
    <w:rsid w:val="000F5A5D"/>
    <w:rsid w:val="00117E45"/>
    <w:rsid w:val="00125304"/>
    <w:rsid w:val="0013279C"/>
    <w:rsid w:val="00133785"/>
    <w:rsid w:val="00150ED2"/>
    <w:rsid w:val="001525C3"/>
    <w:rsid w:val="00152963"/>
    <w:rsid w:val="001531F7"/>
    <w:rsid w:val="001604B2"/>
    <w:rsid w:val="00166906"/>
    <w:rsid w:val="00182824"/>
    <w:rsid w:val="001918A5"/>
    <w:rsid w:val="00192711"/>
    <w:rsid w:val="00193B54"/>
    <w:rsid w:val="00195309"/>
    <w:rsid w:val="00196CE7"/>
    <w:rsid w:val="001A16B2"/>
    <w:rsid w:val="001A2AF3"/>
    <w:rsid w:val="001A5DF7"/>
    <w:rsid w:val="001B37C7"/>
    <w:rsid w:val="001B6DC7"/>
    <w:rsid w:val="001C15B4"/>
    <w:rsid w:val="001E2807"/>
    <w:rsid w:val="001E7558"/>
    <w:rsid w:val="001E7F41"/>
    <w:rsid w:val="001F132A"/>
    <w:rsid w:val="001F146A"/>
    <w:rsid w:val="001F46F2"/>
    <w:rsid w:val="00202E76"/>
    <w:rsid w:val="00205613"/>
    <w:rsid w:val="00207E7A"/>
    <w:rsid w:val="00213BBB"/>
    <w:rsid w:val="00217FA6"/>
    <w:rsid w:val="0022627D"/>
    <w:rsid w:val="002269A8"/>
    <w:rsid w:val="0023043C"/>
    <w:rsid w:val="00233370"/>
    <w:rsid w:val="00250AE2"/>
    <w:rsid w:val="0025767A"/>
    <w:rsid w:val="00261508"/>
    <w:rsid w:val="00267229"/>
    <w:rsid w:val="00267246"/>
    <w:rsid w:val="00274283"/>
    <w:rsid w:val="0027789C"/>
    <w:rsid w:val="002A3096"/>
    <w:rsid w:val="002A5D4C"/>
    <w:rsid w:val="002B0B37"/>
    <w:rsid w:val="002C1732"/>
    <w:rsid w:val="002C7AFA"/>
    <w:rsid w:val="002D08ED"/>
    <w:rsid w:val="002F70E0"/>
    <w:rsid w:val="00311693"/>
    <w:rsid w:val="00325081"/>
    <w:rsid w:val="0032704E"/>
    <w:rsid w:val="0033059D"/>
    <w:rsid w:val="00331D85"/>
    <w:rsid w:val="00335103"/>
    <w:rsid w:val="00355686"/>
    <w:rsid w:val="00365A82"/>
    <w:rsid w:val="00374B11"/>
    <w:rsid w:val="00376FA2"/>
    <w:rsid w:val="00380CCE"/>
    <w:rsid w:val="003A1C69"/>
    <w:rsid w:val="003A224E"/>
    <w:rsid w:val="003A2A05"/>
    <w:rsid w:val="003A7615"/>
    <w:rsid w:val="003C17E6"/>
    <w:rsid w:val="003D0003"/>
    <w:rsid w:val="003E0A8A"/>
    <w:rsid w:val="003E41C5"/>
    <w:rsid w:val="003E6747"/>
    <w:rsid w:val="003F2087"/>
    <w:rsid w:val="003F6A7D"/>
    <w:rsid w:val="00414851"/>
    <w:rsid w:val="004228EC"/>
    <w:rsid w:val="00437FFC"/>
    <w:rsid w:val="00450569"/>
    <w:rsid w:val="00453712"/>
    <w:rsid w:val="00453A14"/>
    <w:rsid w:val="00461F8A"/>
    <w:rsid w:val="0046317D"/>
    <w:rsid w:val="0046443D"/>
    <w:rsid w:val="004802CD"/>
    <w:rsid w:val="004857F8"/>
    <w:rsid w:val="004934A7"/>
    <w:rsid w:val="004A2957"/>
    <w:rsid w:val="004A4183"/>
    <w:rsid w:val="004B0FE1"/>
    <w:rsid w:val="004C0A47"/>
    <w:rsid w:val="004C27E8"/>
    <w:rsid w:val="004F236C"/>
    <w:rsid w:val="004F5E83"/>
    <w:rsid w:val="0050548F"/>
    <w:rsid w:val="00506B43"/>
    <w:rsid w:val="00507476"/>
    <w:rsid w:val="00535E31"/>
    <w:rsid w:val="00536B3B"/>
    <w:rsid w:val="00554361"/>
    <w:rsid w:val="0056040C"/>
    <w:rsid w:val="0058206F"/>
    <w:rsid w:val="00583742"/>
    <w:rsid w:val="00586069"/>
    <w:rsid w:val="00594445"/>
    <w:rsid w:val="005A19CC"/>
    <w:rsid w:val="005A4BF1"/>
    <w:rsid w:val="005B0DAE"/>
    <w:rsid w:val="005C3974"/>
    <w:rsid w:val="005C6EA8"/>
    <w:rsid w:val="005D4E45"/>
    <w:rsid w:val="005E16EC"/>
    <w:rsid w:val="005F0B91"/>
    <w:rsid w:val="005F4AFE"/>
    <w:rsid w:val="00602EA9"/>
    <w:rsid w:val="00614B4E"/>
    <w:rsid w:val="0061785D"/>
    <w:rsid w:val="0061790D"/>
    <w:rsid w:val="00632801"/>
    <w:rsid w:val="006567DE"/>
    <w:rsid w:val="00660D31"/>
    <w:rsid w:val="0066195F"/>
    <w:rsid w:val="00663168"/>
    <w:rsid w:val="0067113D"/>
    <w:rsid w:val="00675E05"/>
    <w:rsid w:val="00680198"/>
    <w:rsid w:val="006870BA"/>
    <w:rsid w:val="006870FB"/>
    <w:rsid w:val="006A3F54"/>
    <w:rsid w:val="006A4AEB"/>
    <w:rsid w:val="006B198C"/>
    <w:rsid w:val="006C41F3"/>
    <w:rsid w:val="006C54CB"/>
    <w:rsid w:val="006C7176"/>
    <w:rsid w:val="006E1855"/>
    <w:rsid w:val="006E7E06"/>
    <w:rsid w:val="006F11ED"/>
    <w:rsid w:val="00730517"/>
    <w:rsid w:val="0073291C"/>
    <w:rsid w:val="00736A73"/>
    <w:rsid w:val="007370BF"/>
    <w:rsid w:val="007400F3"/>
    <w:rsid w:val="007436CB"/>
    <w:rsid w:val="0074699E"/>
    <w:rsid w:val="00763D4A"/>
    <w:rsid w:val="0077646C"/>
    <w:rsid w:val="007851C8"/>
    <w:rsid w:val="00786541"/>
    <w:rsid w:val="007917C8"/>
    <w:rsid w:val="00792D9D"/>
    <w:rsid w:val="007966FF"/>
    <w:rsid w:val="007A08DA"/>
    <w:rsid w:val="007A595D"/>
    <w:rsid w:val="007A5B0F"/>
    <w:rsid w:val="007A7F7F"/>
    <w:rsid w:val="007B2745"/>
    <w:rsid w:val="007B39A6"/>
    <w:rsid w:val="007C33B9"/>
    <w:rsid w:val="007C6AFC"/>
    <w:rsid w:val="007E0E40"/>
    <w:rsid w:val="007E31E2"/>
    <w:rsid w:val="007F7831"/>
    <w:rsid w:val="008007F9"/>
    <w:rsid w:val="008137B0"/>
    <w:rsid w:val="00821E98"/>
    <w:rsid w:val="00831A38"/>
    <w:rsid w:val="00834F64"/>
    <w:rsid w:val="00837136"/>
    <w:rsid w:val="00840AB4"/>
    <w:rsid w:val="00856213"/>
    <w:rsid w:val="00871BB4"/>
    <w:rsid w:val="008776D8"/>
    <w:rsid w:val="0088170B"/>
    <w:rsid w:val="008846CE"/>
    <w:rsid w:val="008866DA"/>
    <w:rsid w:val="00891F1C"/>
    <w:rsid w:val="0089648A"/>
    <w:rsid w:val="008A28BC"/>
    <w:rsid w:val="008A6F78"/>
    <w:rsid w:val="008B3E8F"/>
    <w:rsid w:val="008B60FC"/>
    <w:rsid w:val="008C5E82"/>
    <w:rsid w:val="008F09C2"/>
    <w:rsid w:val="00900399"/>
    <w:rsid w:val="00900ABD"/>
    <w:rsid w:val="009020A7"/>
    <w:rsid w:val="00923B64"/>
    <w:rsid w:val="00932425"/>
    <w:rsid w:val="0095711B"/>
    <w:rsid w:val="00963410"/>
    <w:rsid w:val="00982FBD"/>
    <w:rsid w:val="009848A5"/>
    <w:rsid w:val="009952B5"/>
    <w:rsid w:val="009A6DAF"/>
    <w:rsid w:val="009D139B"/>
    <w:rsid w:val="009D6B09"/>
    <w:rsid w:val="009D6FA7"/>
    <w:rsid w:val="009E4EF3"/>
    <w:rsid w:val="009E6E36"/>
    <w:rsid w:val="009E7602"/>
    <w:rsid w:val="00A01442"/>
    <w:rsid w:val="00A10D14"/>
    <w:rsid w:val="00A20E48"/>
    <w:rsid w:val="00A228BB"/>
    <w:rsid w:val="00A27263"/>
    <w:rsid w:val="00A27526"/>
    <w:rsid w:val="00A37693"/>
    <w:rsid w:val="00A47E8F"/>
    <w:rsid w:val="00A54746"/>
    <w:rsid w:val="00A5488E"/>
    <w:rsid w:val="00A56479"/>
    <w:rsid w:val="00A564B7"/>
    <w:rsid w:val="00A57A1B"/>
    <w:rsid w:val="00A70C6C"/>
    <w:rsid w:val="00A82F02"/>
    <w:rsid w:val="00A82F10"/>
    <w:rsid w:val="00A833DD"/>
    <w:rsid w:val="00AA0552"/>
    <w:rsid w:val="00AA3E2D"/>
    <w:rsid w:val="00AB1368"/>
    <w:rsid w:val="00AB6BDE"/>
    <w:rsid w:val="00AC4262"/>
    <w:rsid w:val="00AC5183"/>
    <w:rsid w:val="00AC7F57"/>
    <w:rsid w:val="00AD27C5"/>
    <w:rsid w:val="00AD3751"/>
    <w:rsid w:val="00AD59FE"/>
    <w:rsid w:val="00AD6D56"/>
    <w:rsid w:val="00AE40A5"/>
    <w:rsid w:val="00AE5FAD"/>
    <w:rsid w:val="00B11441"/>
    <w:rsid w:val="00B1415D"/>
    <w:rsid w:val="00B15651"/>
    <w:rsid w:val="00B41F9C"/>
    <w:rsid w:val="00B425A4"/>
    <w:rsid w:val="00B46070"/>
    <w:rsid w:val="00B52C47"/>
    <w:rsid w:val="00B57BA6"/>
    <w:rsid w:val="00B65901"/>
    <w:rsid w:val="00B716A4"/>
    <w:rsid w:val="00B73864"/>
    <w:rsid w:val="00B87E2D"/>
    <w:rsid w:val="00B90709"/>
    <w:rsid w:val="00B90B34"/>
    <w:rsid w:val="00B9173F"/>
    <w:rsid w:val="00BA716C"/>
    <w:rsid w:val="00BB04BD"/>
    <w:rsid w:val="00BB602B"/>
    <w:rsid w:val="00BC0D00"/>
    <w:rsid w:val="00BD3A6B"/>
    <w:rsid w:val="00BE1ACE"/>
    <w:rsid w:val="00BF5A14"/>
    <w:rsid w:val="00C04355"/>
    <w:rsid w:val="00C17004"/>
    <w:rsid w:val="00C17792"/>
    <w:rsid w:val="00C325E5"/>
    <w:rsid w:val="00C352B6"/>
    <w:rsid w:val="00C55B21"/>
    <w:rsid w:val="00C61A27"/>
    <w:rsid w:val="00C6793F"/>
    <w:rsid w:val="00C71991"/>
    <w:rsid w:val="00C7471B"/>
    <w:rsid w:val="00C752A8"/>
    <w:rsid w:val="00C8563D"/>
    <w:rsid w:val="00C9189D"/>
    <w:rsid w:val="00C94194"/>
    <w:rsid w:val="00C97534"/>
    <w:rsid w:val="00CB2C67"/>
    <w:rsid w:val="00CB46C6"/>
    <w:rsid w:val="00CC760B"/>
    <w:rsid w:val="00CD08B6"/>
    <w:rsid w:val="00CD0BE4"/>
    <w:rsid w:val="00CD2D9F"/>
    <w:rsid w:val="00CD5BC3"/>
    <w:rsid w:val="00CE0F14"/>
    <w:rsid w:val="00CF1F1B"/>
    <w:rsid w:val="00D17B55"/>
    <w:rsid w:val="00D2156B"/>
    <w:rsid w:val="00D24654"/>
    <w:rsid w:val="00D25C13"/>
    <w:rsid w:val="00D36DD9"/>
    <w:rsid w:val="00D556C7"/>
    <w:rsid w:val="00D5714E"/>
    <w:rsid w:val="00D6020C"/>
    <w:rsid w:val="00D65790"/>
    <w:rsid w:val="00D8002E"/>
    <w:rsid w:val="00D84CA2"/>
    <w:rsid w:val="00D86999"/>
    <w:rsid w:val="00D90D42"/>
    <w:rsid w:val="00D94B1F"/>
    <w:rsid w:val="00DA46D2"/>
    <w:rsid w:val="00DA6B86"/>
    <w:rsid w:val="00DC4DF2"/>
    <w:rsid w:val="00DD1E76"/>
    <w:rsid w:val="00E00EF9"/>
    <w:rsid w:val="00E0312E"/>
    <w:rsid w:val="00E04094"/>
    <w:rsid w:val="00E1266D"/>
    <w:rsid w:val="00E34844"/>
    <w:rsid w:val="00E4324C"/>
    <w:rsid w:val="00E44399"/>
    <w:rsid w:val="00E44A00"/>
    <w:rsid w:val="00E779DB"/>
    <w:rsid w:val="00EB17F3"/>
    <w:rsid w:val="00EC49BA"/>
    <w:rsid w:val="00ED2A0D"/>
    <w:rsid w:val="00EE2E10"/>
    <w:rsid w:val="00EF39F2"/>
    <w:rsid w:val="00EF539E"/>
    <w:rsid w:val="00EF5CCC"/>
    <w:rsid w:val="00F04FCA"/>
    <w:rsid w:val="00F15AB8"/>
    <w:rsid w:val="00F15D50"/>
    <w:rsid w:val="00F15DDE"/>
    <w:rsid w:val="00F37E6F"/>
    <w:rsid w:val="00F42A87"/>
    <w:rsid w:val="00F47C49"/>
    <w:rsid w:val="00F50866"/>
    <w:rsid w:val="00F668C5"/>
    <w:rsid w:val="00F6734D"/>
    <w:rsid w:val="00F713C4"/>
    <w:rsid w:val="00F72265"/>
    <w:rsid w:val="00F77F13"/>
    <w:rsid w:val="00FA327E"/>
    <w:rsid w:val="00FB02CD"/>
    <w:rsid w:val="00FB7551"/>
    <w:rsid w:val="00FC0383"/>
    <w:rsid w:val="00FC3F1C"/>
    <w:rsid w:val="00FC4849"/>
    <w:rsid w:val="00FD4AA8"/>
    <w:rsid w:val="00FD60C6"/>
    <w:rsid w:val="00FE1E34"/>
    <w:rsid w:val="00FE331D"/>
    <w:rsid w:val="00FF08B9"/>
    <w:rsid w:val="00FF3AFB"/>
    <w:rsid w:val="00FF3D49"/>
    <w:rsid w:val="00FF7D9C"/>
    <w:rsid w:val="069572B9"/>
    <w:rsid w:val="08DD2B29"/>
    <w:rsid w:val="0C9C55E7"/>
    <w:rsid w:val="0FA61825"/>
    <w:rsid w:val="161E613D"/>
    <w:rsid w:val="17D31922"/>
    <w:rsid w:val="193953D9"/>
    <w:rsid w:val="1A562BE6"/>
    <w:rsid w:val="1D003CA6"/>
    <w:rsid w:val="21C2179A"/>
    <w:rsid w:val="25F5515A"/>
    <w:rsid w:val="29E93CB2"/>
    <w:rsid w:val="2D4F33A1"/>
    <w:rsid w:val="2F211B06"/>
    <w:rsid w:val="30717AD3"/>
    <w:rsid w:val="3105257E"/>
    <w:rsid w:val="346E4CD1"/>
    <w:rsid w:val="374A746D"/>
    <w:rsid w:val="39954100"/>
    <w:rsid w:val="40C77268"/>
    <w:rsid w:val="425E1AD6"/>
    <w:rsid w:val="4B1A3BF8"/>
    <w:rsid w:val="4BB52B12"/>
    <w:rsid w:val="5AF947C9"/>
    <w:rsid w:val="66D01B51"/>
    <w:rsid w:val="676B07FC"/>
    <w:rsid w:val="68842D0C"/>
    <w:rsid w:val="6E000753"/>
    <w:rsid w:val="6F806E0F"/>
    <w:rsid w:val="72253C9E"/>
    <w:rsid w:val="7561323F"/>
    <w:rsid w:val="7E8E30A5"/>
    <w:rsid w:val="7F392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D52F"/>
  <w15:docId w15:val="{A15B4C56-499F-4E81-8218-BF13740D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qFormat/>
    <w:pPr>
      <w:widowControl w:val="0"/>
      <w:jc w:val="both"/>
    </w:pPr>
    <w:rPr>
      <w:kern w:val="2"/>
      <w:sz w:val="21"/>
      <w:szCs w:val="24"/>
    </w:rPr>
  </w:style>
  <w:style w:type="paragraph" w:styleId="1">
    <w:name w:val="heading 1"/>
    <w:basedOn w:val="a8"/>
    <w:next w:val="a8"/>
    <w:link w:val="10"/>
    <w:qFormat/>
    <w:pPr>
      <w:keepNext/>
      <w:keepLines/>
      <w:spacing w:before="340" w:after="330" w:line="578" w:lineRule="auto"/>
      <w:outlineLvl w:val="0"/>
    </w:pPr>
    <w:rPr>
      <w:b/>
      <w:bCs/>
      <w:kern w:val="44"/>
      <w:sz w:val="44"/>
      <w:szCs w:val="4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Date"/>
    <w:basedOn w:val="a8"/>
    <w:next w:val="a8"/>
    <w:rPr>
      <w:rFonts w:eastAsia="创艺简仿宋"/>
      <w:sz w:val="30"/>
      <w:szCs w:val="20"/>
    </w:rPr>
  </w:style>
  <w:style w:type="paragraph" w:styleId="ad">
    <w:name w:val="Balloon Text"/>
    <w:basedOn w:val="a8"/>
    <w:link w:val="ae"/>
    <w:rPr>
      <w:sz w:val="18"/>
      <w:szCs w:val="18"/>
    </w:rPr>
  </w:style>
  <w:style w:type="paragraph" w:styleId="af">
    <w:name w:val="footer"/>
    <w:basedOn w:val="a8"/>
    <w:link w:val="af0"/>
    <w:uiPriority w:val="99"/>
    <w:pPr>
      <w:tabs>
        <w:tab w:val="center" w:pos="4153"/>
        <w:tab w:val="right" w:pos="8306"/>
      </w:tabs>
      <w:snapToGrid w:val="0"/>
      <w:jc w:val="left"/>
    </w:pPr>
    <w:rPr>
      <w:sz w:val="18"/>
      <w:szCs w:val="18"/>
    </w:rPr>
  </w:style>
  <w:style w:type="paragraph" w:styleId="af1">
    <w:name w:val="header"/>
    <w:basedOn w:val="a8"/>
    <w:pPr>
      <w:pBdr>
        <w:bottom w:val="single" w:sz="6" w:space="1" w:color="auto"/>
      </w:pBdr>
      <w:tabs>
        <w:tab w:val="center" w:pos="4153"/>
        <w:tab w:val="right" w:pos="8306"/>
      </w:tabs>
      <w:snapToGrid w:val="0"/>
      <w:jc w:val="center"/>
    </w:pPr>
    <w:rPr>
      <w:sz w:val="18"/>
      <w:szCs w:val="18"/>
    </w:rPr>
  </w:style>
  <w:style w:type="paragraph" w:styleId="3">
    <w:name w:val="Body Text Indent 3"/>
    <w:basedOn w:val="a8"/>
    <w:pPr>
      <w:ind w:firstLine="645"/>
    </w:pPr>
    <w:rPr>
      <w:rFonts w:ascii="楷体_gb2312" w:eastAsia="楷体_gb2312"/>
      <w:sz w:val="32"/>
    </w:rPr>
  </w:style>
  <w:style w:type="table" w:styleId="af2">
    <w:name w:val="Table Grid"/>
    <w:basedOn w:val="a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_Style 19"/>
    <w:basedOn w:val="a8"/>
    <w:pPr>
      <w:widowControl/>
      <w:spacing w:after="160" w:line="240" w:lineRule="exact"/>
      <w:jc w:val="left"/>
    </w:pPr>
    <w:rPr>
      <w:rFonts w:ascii="Verdana" w:hAnsi="Verdana"/>
      <w:kern w:val="0"/>
      <w:sz w:val="18"/>
      <w:szCs w:val="20"/>
      <w:lang w:eastAsia="en-US"/>
    </w:rPr>
  </w:style>
  <w:style w:type="character" w:styleId="af3">
    <w:name w:val="page number"/>
  </w:style>
  <w:style w:type="character" w:styleId="af4">
    <w:name w:val="Hyperlink"/>
    <w:rPr>
      <w:color w:val="0000FF"/>
      <w:u w:val="single"/>
    </w:rPr>
  </w:style>
  <w:style w:type="character" w:customStyle="1" w:styleId="10">
    <w:name w:val="标题 1 字符"/>
    <w:link w:val="1"/>
    <w:rPr>
      <w:b/>
      <w:bCs/>
      <w:kern w:val="44"/>
      <w:sz w:val="44"/>
      <w:szCs w:val="44"/>
    </w:rPr>
  </w:style>
  <w:style w:type="character" w:customStyle="1" w:styleId="ae">
    <w:name w:val="批注框文本 字符"/>
    <w:link w:val="ad"/>
    <w:rPr>
      <w:kern w:val="2"/>
      <w:sz w:val="18"/>
      <w:szCs w:val="18"/>
    </w:rPr>
  </w:style>
  <w:style w:type="character" w:customStyle="1" w:styleId="af0">
    <w:name w:val="页脚 字符"/>
    <w:link w:val="af"/>
    <w:uiPriority w:val="99"/>
    <w:rPr>
      <w:kern w:val="2"/>
      <w:sz w:val="18"/>
      <w:szCs w:val="18"/>
    </w:rPr>
  </w:style>
  <w:style w:type="paragraph" w:customStyle="1" w:styleId="af5">
    <w:name w:val="红线"/>
    <w:basedOn w:val="1"/>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af6">
    <w:name w:val="密级"/>
    <w:basedOn w:val="a8"/>
    <w:pPr>
      <w:autoSpaceDE w:val="0"/>
      <w:autoSpaceDN w:val="0"/>
      <w:adjustRightInd w:val="0"/>
      <w:spacing w:line="425" w:lineRule="atLeast"/>
      <w:jc w:val="right"/>
    </w:pPr>
    <w:rPr>
      <w:rFonts w:ascii="黑体" w:eastAsia="黑体"/>
      <w:snapToGrid w:val="0"/>
      <w:kern w:val="0"/>
      <w:sz w:val="30"/>
      <w:szCs w:val="20"/>
    </w:rPr>
  </w:style>
  <w:style w:type="paragraph" w:customStyle="1" w:styleId="af7">
    <w:name w:val="文头"/>
    <w:basedOn w:val="a8"/>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paragraph" w:styleId="af8">
    <w:name w:val="List Paragraph"/>
    <w:basedOn w:val="a8"/>
    <w:uiPriority w:val="34"/>
    <w:qFormat/>
    <w:pPr>
      <w:ind w:firstLineChars="200" w:firstLine="420"/>
    </w:pPr>
    <w:rPr>
      <w:rFonts w:ascii="Calibri" w:hAnsi="Calibri"/>
      <w:szCs w:val="22"/>
    </w:rPr>
  </w:style>
  <w:style w:type="paragraph" w:customStyle="1" w:styleId="af9">
    <w:name w:val="段"/>
    <w:qFormat/>
    <w:pPr>
      <w:autoSpaceDE w:val="0"/>
      <w:autoSpaceDN w:val="0"/>
      <w:ind w:firstLineChars="200" w:firstLine="200"/>
      <w:jc w:val="both"/>
    </w:pPr>
    <w:rPr>
      <w:rFonts w:ascii="宋体"/>
      <w:sz w:val="21"/>
    </w:rPr>
  </w:style>
  <w:style w:type="paragraph" w:customStyle="1" w:styleId="a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b">
    <w:name w:val="标准文件_段"/>
    <w:link w:val="Char"/>
    <w:pPr>
      <w:autoSpaceDE w:val="0"/>
      <w:autoSpaceDN w:val="0"/>
      <w:ind w:firstLineChars="200" w:firstLine="200"/>
      <w:jc w:val="both"/>
    </w:pPr>
    <w:rPr>
      <w:rFonts w:ascii="宋体"/>
      <w:sz w:val="21"/>
    </w:rPr>
  </w:style>
  <w:style w:type="character" w:customStyle="1" w:styleId="Char">
    <w:name w:val="标准文件_段 Char"/>
    <w:link w:val="afb"/>
    <w:qFormat/>
    <w:rPr>
      <w:rFonts w:ascii="宋体"/>
      <w:sz w:val="21"/>
    </w:rPr>
  </w:style>
  <w:style w:type="paragraph" w:customStyle="1" w:styleId="a4">
    <w:name w:val="标准文件_二级条标题"/>
    <w:next w:val="afb"/>
    <w:pPr>
      <w:widowControl w:val="0"/>
      <w:numPr>
        <w:ilvl w:val="3"/>
        <w:numId w:val="1"/>
      </w:numPr>
      <w:spacing w:beforeLines="50" w:before="50" w:afterLines="50" w:after="50"/>
      <w:jc w:val="both"/>
      <w:outlineLvl w:val="2"/>
    </w:pPr>
    <w:rPr>
      <w:rFonts w:ascii="黑体" w:eastAsia="黑体"/>
      <w:sz w:val="21"/>
    </w:rPr>
  </w:style>
  <w:style w:type="paragraph" w:customStyle="1" w:styleId="a5">
    <w:name w:val="标准文件_三级条标题"/>
    <w:basedOn w:val="a4"/>
    <w:next w:val="afb"/>
    <w:pPr>
      <w:widowControl/>
      <w:numPr>
        <w:ilvl w:val="4"/>
      </w:numPr>
      <w:outlineLvl w:val="3"/>
    </w:pPr>
  </w:style>
  <w:style w:type="paragraph" w:customStyle="1" w:styleId="a6">
    <w:name w:val="标准文件_四级条标题"/>
    <w:next w:val="afb"/>
    <w:pPr>
      <w:widowControl w:val="0"/>
      <w:numPr>
        <w:ilvl w:val="5"/>
        <w:numId w:val="1"/>
      </w:numPr>
      <w:spacing w:beforeLines="50" w:before="50" w:afterLines="50" w:after="50"/>
      <w:jc w:val="both"/>
      <w:outlineLvl w:val="4"/>
    </w:pPr>
    <w:rPr>
      <w:rFonts w:ascii="黑体" w:eastAsia="黑体"/>
      <w:sz w:val="21"/>
    </w:rPr>
  </w:style>
  <w:style w:type="paragraph" w:customStyle="1" w:styleId="a7">
    <w:name w:val="标准文件_五级条标题"/>
    <w:next w:val="afb"/>
    <w:pPr>
      <w:widowControl w:val="0"/>
      <w:numPr>
        <w:ilvl w:val="6"/>
        <w:numId w:val="1"/>
      </w:numPr>
      <w:spacing w:beforeLines="50" w:before="50" w:afterLines="50" w:after="50"/>
      <w:jc w:val="both"/>
      <w:outlineLvl w:val="5"/>
    </w:pPr>
    <w:rPr>
      <w:rFonts w:ascii="黑体" w:eastAsia="黑体"/>
      <w:sz w:val="21"/>
    </w:rPr>
  </w:style>
  <w:style w:type="paragraph" w:customStyle="1" w:styleId="a2">
    <w:name w:val="标准文件_章标题"/>
    <w:next w:val="afb"/>
    <w:pPr>
      <w:numPr>
        <w:ilvl w:val="1"/>
        <w:numId w:val="1"/>
      </w:numPr>
      <w:spacing w:beforeLines="100" w:before="100" w:afterLines="100" w:after="100"/>
      <w:jc w:val="both"/>
      <w:outlineLvl w:val="0"/>
    </w:pPr>
    <w:rPr>
      <w:rFonts w:ascii="黑体" w:eastAsia="黑体"/>
      <w:sz w:val="21"/>
    </w:rPr>
  </w:style>
  <w:style w:type="paragraph" w:customStyle="1" w:styleId="a3">
    <w:name w:val="标准文件_一级条标题"/>
    <w:basedOn w:val="a2"/>
    <w:next w:val="afb"/>
    <w:pPr>
      <w:numPr>
        <w:ilvl w:val="2"/>
      </w:numPr>
      <w:spacing w:beforeLines="50" w:before="50" w:afterLines="50" w:after="50"/>
      <w:outlineLvl w:val="1"/>
    </w:pPr>
  </w:style>
  <w:style w:type="paragraph" w:customStyle="1" w:styleId="a1">
    <w:name w:val="前言标题"/>
    <w:next w:val="a8"/>
    <w:pPr>
      <w:numPr>
        <w:numId w:val="1"/>
      </w:numPr>
      <w:shd w:val="clear" w:color="FFFFFF" w:fill="FFFFFF"/>
      <w:spacing w:before="540" w:after="600"/>
      <w:jc w:val="center"/>
      <w:outlineLvl w:val="0"/>
    </w:pPr>
    <w:rPr>
      <w:rFonts w:ascii="黑体" w:eastAsia="黑体"/>
      <w:sz w:val="32"/>
    </w:rPr>
  </w:style>
  <w:style w:type="paragraph" w:customStyle="1" w:styleId="afc">
    <w:name w:val="标准文件_二级无标题"/>
    <w:basedOn w:val="a4"/>
    <w:qFormat/>
    <w:pPr>
      <w:spacing w:beforeLines="0" w:before="0" w:afterLines="0" w:after="0"/>
      <w:outlineLvl w:val="9"/>
    </w:pPr>
    <w:rPr>
      <w:rFonts w:ascii="宋体" w:eastAsia="宋体"/>
    </w:rPr>
  </w:style>
  <w:style w:type="paragraph" w:customStyle="1" w:styleId="a">
    <w:name w:val="标准文件_一级项"/>
    <w:qFormat/>
    <w:pPr>
      <w:numPr>
        <w:numId w:val="2"/>
      </w:numPr>
    </w:pPr>
    <w:rPr>
      <w:rFonts w:ascii="宋体"/>
      <w:sz w:val="21"/>
    </w:rPr>
  </w:style>
  <w:style w:type="paragraph" w:customStyle="1" w:styleId="a0">
    <w:name w:val="标准文件_三级项"/>
    <w:basedOn w:val="a8"/>
    <w:qFormat/>
    <w:pPr>
      <w:numPr>
        <w:ilvl w:val="2"/>
        <w:numId w:val="2"/>
      </w:numPr>
      <w:adjustRightInd w:val="0"/>
      <w:spacing w:line="300" w:lineRule="exact"/>
    </w:pPr>
    <w:rPr>
      <w:szCs w:val="21"/>
    </w:rPr>
  </w:style>
  <w:style w:type="paragraph" w:customStyle="1" w:styleId="2">
    <w:name w:val="标准文件_二级项2"/>
    <w:basedOn w:val="afb"/>
    <w:qFormat/>
    <w:pPr>
      <w:numPr>
        <w:ilvl w:val="1"/>
        <w:numId w:val="2"/>
      </w:numPr>
      <w:ind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703</Words>
  <Characters>4013</Characters>
  <Application>Microsoft Office Word</Application>
  <DocSecurity>0</DocSecurity>
  <Lines>33</Lines>
  <Paragraphs>9</Paragraphs>
  <ScaleCrop>false</ScaleCrop>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省质监局文件调整建议</dc:title>
  <dc:creator>xmq</dc:creator>
  <cp:lastModifiedBy>richard yang</cp:lastModifiedBy>
  <cp:revision>3</cp:revision>
  <cp:lastPrinted>2019-12-16T01:08:00Z</cp:lastPrinted>
  <dcterms:created xsi:type="dcterms:W3CDTF">2024-12-06T09:39:00Z</dcterms:created>
  <dcterms:modified xsi:type="dcterms:W3CDTF">2024-12-06T09:40:00Z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D71B8A2429A449FFADD48C125C97ABD3_13</vt:lpwstr>
  </property>
</Properties>
</file>